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0A" w:rsidRPr="00212308" w:rsidRDefault="00AB5E0A" w:rsidP="00AB5E0A">
      <w:pPr>
        <w:jc w:val="center"/>
        <w:rPr>
          <w:b/>
          <w:bCs/>
          <w:sz w:val="36"/>
          <w:szCs w:val="36"/>
          <w:lang w:val="en-GB"/>
        </w:rPr>
      </w:pPr>
      <w:r>
        <w:rPr>
          <w:b/>
          <w:bCs/>
          <w:sz w:val="36"/>
          <w:szCs w:val="36"/>
          <w:lang w:val="en-GB"/>
        </w:rPr>
        <w:t xml:space="preserve">D.4  </w:t>
      </w:r>
      <w:r w:rsidRPr="00C549D8">
        <w:rPr>
          <w:b/>
          <w:bCs/>
          <w:sz w:val="36"/>
          <w:szCs w:val="36"/>
          <w:lang w:val="en-GB"/>
        </w:rPr>
        <w:t>NCAAA Key Performance Indicator</w:t>
      </w:r>
      <w:r w:rsidRPr="00212308">
        <w:rPr>
          <w:b/>
          <w:bCs/>
          <w:sz w:val="36"/>
          <w:szCs w:val="36"/>
          <w:lang w:val="en-GB"/>
        </w:rPr>
        <w:t>s</w:t>
      </w:r>
    </w:p>
    <w:p w:rsidR="00AB5E0A" w:rsidRDefault="00AB5E0A" w:rsidP="00AB5E0A">
      <w:pPr>
        <w:rPr>
          <w:b/>
          <w:bCs/>
          <w:sz w:val="20"/>
          <w:szCs w:val="20"/>
          <w:lang w:val="en-GB"/>
        </w:rPr>
      </w:pPr>
      <w:r w:rsidRPr="00212308">
        <w:rPr>
          <w:b/>
          <w:bCs/>
          <w:lang w:val="en-GB"/>
        </w:rPr>
        <w:t xml:space="preserve">                                                                   </w:t>
      </w:r>
      <w:r>
        <w:rPr>
          <w:b/>
          <w:bCs/>
          <w:lang w:val="en-GB"/>
        </w:rPr>
        <w:t xml:space="preserve">       </w:t>
      </w:r>
      <w:r w:rsidRPr="00212308">
        <w:rPr>
          <w:b/>
          <w:bCs/>
          <w:lang w:val="en-GB"/>
        </w:rPr>
        <w:t xml:space="preserve">                                           </w:t>
      </w:r>
      <w:r>
        <w:rPr>
          <w:b/>
          <w:bCs/>
          <w:lang w:val="en-GB"/>
        </w:rPr>
        <w:t xml:space="preserve">      </w:t>
      </w:r>
      <w:r w:rsidRPr="00212308">
        <w:rPr>
          <w:b/>
          <w:bCs/>
          <w:lang w:val="en-GB"/>
        </w:rPr>
        <w:t xml:space="preserve"> </w:t>
      </w:r>
      <w:r>
        <w:rPr>
          <w:b/>
          <w:bCs/>
          <w:sz w:val="20"/>
          <w:szCs w:val="20"/>
          <w:lang w:val="en-GB"/>
        </w:rPr>
        <w:t>8 June</w:t>
      </w:r>
      <w:r w:rsidRPr="00BD6DCF">
        <w:rPr>
          <w:b/>
          <w:bCs/>
          <w:sz w:val="20"/>
          <w:szCs w:val="20"/>
          <w:lang w:val="en-GB"/>
        </w:rPr>
        <w:t xml:space="preserve"> 201</w:t>
      </w:r>
      <w:r>
        <w:rPr>
          <w:b/>
          <w:bCs/>
          <w:sz w:val="20"/>
          <w:szCs w:val="20"/>
          <w:lang w:val="en-GB"/>
        </w:rPr>
        <w:t>4</w:t>
      </w:r>
    </w:p>
    <w:p w:rsidR="00AB5E0A" w:rsidRDefault="00AB5E0A" w:rsidP="00AB5E0A">
      <w:pPr>
        <w:jc w:val="both"/>
        <w:rPr>
          <w:b/>
          <w:bCs/>
          <w:sz w:val="20"/>
          <w:szCs w:val="20"/>
          <w:lang w:val="en-GB"/>
        </w:rPr>
      </w:pPr>
    </w:p>
    <w:p w:rsidR="00AB5E0A" w:rsidRDefault="00AB5E0A" w:rsidP="00AB5E0A">
      <w:pPr>
        <w:jc w:val="both"/>
        <w:rPr>
          <w:b/>
          <w:bCs/>
          <w:sz w:val="20"/>
          <w:szCs w:val="20"/>
          <w:lang w:val="en-GB"/>
        </w:rPr>
      </w:pPr>
    </w:p>
    <w:p w:rsidR="00AB5E0A" w:rsidRPr="002159A7" w:rsidRDefault="00AB5E0A" w:rsidP="00AB5E0A">
      <w:pPr>
        <w:jc w:val="both"/>
        <w:rPr>
          <w:b/>
          <w:bCs/>
          <w:lang w:val="en-GB"/>
        </w:rPr>
      </w:pPr>
      <w:r w:rsidRPr="002159A7">
        <w:rPr>
          <w:b/>
          <w:bCs/>
          <w:lang w:val="en-GB"/>
        </w:rPr>
        <w:t xml:space="preserve">The KPIs listed below are provided as guidelines for developing evidence to support that a given standard or sub-standard is met. Most KPIs can be utilized at all levels. The KPIs are organized according to standards that best align with the evidence it provides, although in some applications a KPI can be used as evidence for more than one standard. Some KPI statistical data is included in the NCAAA Profile information that is required annually for institutions and bi-annually for programs. </w:t>
      </w:r>
    </w:p>
    <w:p w:rsidR="00AB5E0A" w:rsidRPr="002159A7" w:rsidRDefault="00AB5E0A" w:rsidP="00AB5E0A">
      <w:pPr>
        <w:jc w:val="both"/>
        <w:rPr>
          <w:b/>
          <w:bCs/>
          <w:lang w:val="en-GB"/>
        </w:rPr>
      </w:pPr>
    </w:p>
    <w:p w:rsidR="00AB5E0A" w:rsidRPr="002159A7" w:rsidRDefault="00AB5E0A" w:rsidP="00AB5E0A">
      <w:pPr>
        <w:jc w:val="both"/>
        <w:rPr>
          <w:b/>
          <w:bCs/>
          <w:lang w:val="en-GB"/>
        </w:rPr>
      </w:pPr>
      <w:r w:rsidRPr="002159A7">
        <w:rPr>
          <w:b/>
          <w:bCs/>
          <w:lang w:val="en-GB"/>
        </w:rPr>
        <w:t>It is recommended that an NCAAA KPI table template be used for each KPI and inserted directly in the SSR at the point where the KPI evidence demonstrates that the standard or substandard is met. The KPI table template provides a framework for benchmarking and analysis (a NCAAA KPI table template is attached below). The NCAAA SSR templates already have some KPI table templates inserted at locations where they are required.</w:t>
      </w:r>
    </w:p>
    <w:p w:rsidR="00AB5E0A" w:rsidRPr="002159A7" w:rsidRDefault="00AB5E0A" w:rsidP="00AB5E0A">
      <w:pPr>
        <w:jc w:val="both"/>
        <w:rPr>
          <w:b/>
          <w:bCs/>
          <w:lang w:val="en-GB"/>
        </w:rPr>
      </w:pPr>
    </w:p>
    <w:p w:rsidR="00AB5E0A" w:rsidRPr="002159A7" w:rsidRDefault="00AB5E0A" w:rsidP="00AB5E0A">
      <w:pPr>
        <w:jc w:val="both"/>
        <w:rPr>
          <w:b/>
          <w:bCs/>
          <w:lang w:val="en-GB"/>
        </w:rPr>
      </w:pPr>
      <w:r w:rsidRPr="002159A7">
        <w:rPr>
          <w:b/>
          <w:bCs/>
          <w:lang w:val="en-GB"/>
        </w:rPr>
        <w:t xml:space="preserve">It is recommended that additional KPIs and templates be used throughout the SSR as documented scientific evidence. </w:t>
      </w:r>
    </w:p>
    <w:p w:rsidR="00AB5E0A" w:rsidRPr="002159A7" w:rsidRDefault="00AB5E0A" w:rsidP="00AB5E0A">
      <w:pPr>
        <w:jc w:val="both"/>
        <w:rPr>
          <w:b/>
          <w:bCs/>
          <w:lang w:val="en-GB"/>
        </w:rPr>
      </w:pPr>
    </w:p>
    <w:p w:rsidR="00AB5E0A" w:rsidRPr="002159A7" w:rsidRDefault="00AB5E0A" w:rsidP="00AB5E0A">
      <w:pPr>
        <w:jc w:val="both"/>
        <w:rPr>
          <w:b/>
          <w:bCs/>
          <w:lang w:val="en-GB"/>
        </w:rPr>
      </w:pPr>
      <w:r w:rsidRPr="002159A7">
        <w:rPr>
          <w:b/>
          <w:bCs/>
          <w:lang w:val="en-GB"/>
        </w:rPr>
        <w:t xml:space="preserve">Direct assessment of each program level intended student learning outcomes is required by NCAAA. There are several direct assessment methods available (For example:  </w:t>
      </w:r>
      <w:r>
        <w:rPr>
          <w:b/>
          <w:bCs/>
          <w:lang w:val="en-GB"/>
        </w:rPr>
        <w:t>locally developed final exams</w:t>
      </w:r>
      <w:r w:rsidRPr="002159A7">
        <w:rPr>
          <w:b/>
          <w:bCs/>
          <w:lang w:val="en-GB"/>
        </w:rPr>
        <w:t>,</w:t>
      </w:r>
      <w:r>
        <w:rPr>
          <w:b/>
          <w:bCs/>
          <w:lang w:val="en-GB"/>
        </w:rPr>
        <w:t xml:space="preserve"> national standardized tests, student learning</w:t>
      </w:r>
      <w:r w:rsidRPr="002159A7">
        <w:rPr>
          <w:b/>
          <w:bCs/>
          <w:lang w:val="en-GB"/>
        </w:rPr>
        <w:t xml:space="preserve"> portfolios</w:t>
      </w:r>
      <w:r>
        <w:rPr>
          <w:b/>
          <w:bCs/>
          <w:lang w:val="en-GB"/>
        </w:rPr>
        <w:t xml:space="preserve"> together with rubrics</w:t>
      </w:r>
      <w:r w:rsidRPr="002159A7">
        <w:rPr>
          <w:b/>
          <w:bCs/>
          <w:lang w:val="en-GB"/>
        </w:rPr>
        <w:t>, and tracking each learning outcome to specific exam questions or</w:t>
      </w:r>
      <w:r>
        <w:rPr>
          <w:b/>
          <w:bCs/>
          <w:lang w:val="en-GB"/>
        </w:rPr>
        <w:t xml:space="preserve"> capstone</w:t>
      </w:r>
      <w:r w:rsidRPr="002159A7">
        <w:rPr>
          <w:b/>
          <w:bCs/>
          <w:lang w:val="en-GB"/>
        </w:rPr>
        <w:t xml:space="preserve"> projects). It is recommended that programs organize direct student learning outcome assessment data by utilizing the NCAAA KPI table template for each program learning outcome. </w:t>
      </w:r>
      <w:r>
        <w:rPr>
          <w:b/>
          <w:bCs/>
          <w:lang w:val="en-GB"/>
        </w:rPr>
        <w:t>It is also recommended to augment the direct assessment of student learning outcomes with indirect methods (for example:  exit, alumni, and employer surveys).</w:t>
      </w:r>
    </w:p>
    <w:p w:rsidR="00AB5E0A" w:rsidRPr="002159A7" w:rsidRDefault="00AB5E0A" w:rsidP="00AB5E0A">
      <w:pPr>
        <w:jc w:val="both"/>
        <w:rPr>
          <w:b/>
          <w:bCs/>
          <w:lang w:val="en-GB"/>
        </w:rPr>
      </w:pPr>
    </w:p>
    <w:p w:rsidR="00AB5E0A" w:rsidRPr="002159A7" w:rsidRDefault="00AB5E0A" w:rsidP="00AB5E0A">
      <w:pPr>
        <w:jc w:val="both"/>
        <w:rPr>
          <w:b/>
          <w:bCs/>
          <w:lang w:val="en-GB"/>
        </w:rPr>
      </w:pPr>
      <w:r w:rsidRPr="002159A7">
        <w:rPr>
          <w:b/>
          <w:bCs/>
          <w:lang w:val="en-GB"/>
        </w:rPr>
        <w:t>NCAAA re</w:t>
      </w:r>
      <w:r>
        <w:rPr>
          <w:b/>
          <w:bCs/>
          <w:lang w:val="en-GB"/>
        </w:rPr>
        <w:t>quires that 70% of the 33</w:t>
      </w:r>
      <w:r w:rsidRPr="002159A7">
        <w:rPr>
          <w:b/>
          <w:bCs/>
          <w:lang w:val="en-GB"/>
        </w:rPr>
        <w:t xml:space="preserve"> KPIs listed below be used by institutions and programs. Institutions </w:t>
      </w:r>
      <w:r>
        <w:rPr>
          <w:b/>
          <w:bCs/>
          <w:lang w:val="en-GB"/>
        </w:rPr>
        <w:t>should complete not less than 22</w:t>
      </w:r>
      <w:r w:rsidRPr="002159A7">
        <w:rPr>
          <w:b/>
          <w:bCs/>
          <w:lang w:val="en-GB"/>
        </w:rPr>
        <w:t xml:space="preserve"> and pr</w:t>
      </w:r>
      <w:r>
        <w:rPr>
          <w:b/>
          <w:bCs/>
          <w:lang w:val="en-GB"/>
        </w:rPr>
        <w:t>ogram not less than 17</w:t>
      </w:r>
      <w:r w:rsidRPr="002159A7">
        <w:rPr>
          <w:b/>
          <w:bCs/>
          <w:lang w:val="en-GB"/>
        </w:rPr>
        <w:t xml:space="preserve"> of the following KPIs.   </w:t>
      </w:r>
    </w:p>
    <w:p w:rsidR="00AB5E0A" w:rsidRPr="002159A7" w:rsidRDefault="00AB5E0A" w:rsidP="00AB5E0A">
      <w:pPr>
        <w:rPr>
          <w:b/>
          <w:bCs/>
          <w:lang w:val="en-GB"/>
        </w:rPr>
      </w:pPr>
    </w:p>
    <w:p w:rsidR="00AB5E0A" w:rsidRPr="00212308" w:rsidRDefault="00AB5E0A" w:rsidP="00AB5E0A">
      <w:pPr>
        <w:rPr>
          <w:b/>
          <w:bCs/>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021"/>
        <w:gridCol w:w="4230"/>
        <w:gridCol w:w="2250"/>
      </w:tblGrid>
      <w:tr w:rsidR="00AB5E0A" w:rsidRPr="00212308" w:rsidTr="009C14A3">
        <w:tc>
          <w:tcPr>
            <w:tcW w:w="1787" w:type="dxa"/>
          </w:tcPr>
          <w:p w:rsidR="00AB5E0A" w:rsidRPr="00212308" w:rsidRDefault="00AB5E0A" w:rsidP="009C14A3">
            <w:pPr>
              <w:jc w:val="center"/>
              <w:rPr>
                <w:b/>
                <w:bCs/>
                <w:lang w:val="en-GB"/>
              </w:rPr>
            </w:pPr>
            <w:r w:rsidRPr="00212308">
              <w:rPr>
                <w:b/>
                <w:bCs/>
                <w:lang w:val="en-GB"/>
              </w:rPr>
              <w:t>NCAAA</w:t>
            </w:r>
          </w:p>
          <w:p w:rsidR="00AB5E0A" w:rsidRPr="00212308" w:rsidRDefault="00AB5E0A" w:rsidP="009C14A3">
            <w:pPr>
              <w:jc w:val="center"/>
              <w:rPr>
                <w:b/>
                <w:bCs/>
                <w:lang w:val="en-GB"/>
              </w:rPr>
            </w:pPr>
            <w:r w:rsidRPr="00212308">
              <w:rPr>
                <w:b/>
                <w:bCs/>
                <w:lang w:val="en-GB"/>
              </w:rPr>
              <w:t>Standards</w:t>
            </w:r>
          </w:p>
        </w:tc>
        <w:tc>
          <w:tcPr>
            <w:tcW w:w="1021" w:type="dxa"/>
          </w:tcPr>
          <w:p w:rsidR="00AB5E0A" w:rsidRPr="00212308" w:rsidRDefault="00AB5E0A" w:rsidP="009C14A3">
            <w:pPr>
              <w:jc w:val="center"/>
              <w:rPr>
                <w:b/>
                <w:bCs/>
                <w:lang w:val="en-GB"/>
              </w:rPr>
            </w:pPr>
            <w:r w:rsidRPr="00212308">
              <w:rPr>
                <w:b/>
                <w:bCs/>
                <w:lang w:val="en-GB"/>
              </w:rPr>
              <w:t xml:space="preserve">KPI </w:t>
            </w:r>
          </w:p>
          <w:p w:rsidR="00AB5E0A" w:rsidRPr="00212308" w:rsidRDefault="00AB5E0A" w:rsidP="009C14A3">
            <w:pPr>
              <w:jc w:val="center"/>
              <w:rPr>
                <w:b/>
                <w:bCs/>
                <w:lang w:val="en-GB"/>
              </w:rPr>
            </w:pPr>
            <w:r w:rsidRPr="00212308">
              <w:rPr>
                <w:b/>
                <w:bCs/>
                <w:lang w:val="en-GB"/>
              </w:rPr>
              <w:t>Code #</w:t>
            </w:r>
          </w:p>
        </w:tc>
        <w:tc>
          <w:tcPr>
            <w:tcW w:w="4230" w:type="dxa"/>
            <w:shd w:val="clear" w:color="auto" w:fill="auto"/>
          </w:tcPr>
          <w:p w:rsidR="00AB5E0A" w:rsidRPr="00212308" w:rsidRDefault="00AB5E0A" w:rsidP="009C14A3">
            <w:pPr>
              <w:jc w:val="center"/>
              <w:rPr>
                <w:b/>
                <w:bCs/>
                <w:lang w:val="en-GB"/>
              </w:rPr>
            </w:pPr>
            <w:r w:rsidRPr="00212308">
              <w:rPr>
                <w:b/>
                <w:bCs/>
                <w:lang w:val="en-GB"/>
              </w:rPr>
              <w:t>Key Performance Indicator</w:t>
            </w:r>
          </w:p>
          <w:p w:rsidR="00AB5E0A" w:rsidRPr="00212308" w:rsidRDefault="00AB5E0A" w:rsidP="009C14A3">
            <w:pPr>
              <w:jc w:val="center"/>
              <w:rPr>
                <w:b/>
                <w:bCs/>
                <w:lang w:val="en-GB"/>
              </w:rPr>
            </w:pPr>
          </w:p>
        </w:tc>
        <w:tc>
          <w:tcPr>
            <w:tcW w:w="2250" w:type="dxa"/>
            <w:shd w:val="clear" w:color="auto" w:fill="auto"/>
          </w:tcPr>
          <w:p w:rsidR="00AB5E0A" w:rsidRPr="00212308" w:rsidRDefault="00AB5E0A" w:rsidP="009C14A3">
            <w:pPr>
              <w:jc w:val="center"/>
              <w:rPr>
                <w:b/>
                <w:bCs/>
                <w:lang w:val="en-GB"/>
              </w:rPr>
            </w:pPr>
            <w:r w:rsidRPr="00212308">
              <w:rPr>
                <w:b/>
                <w:bCs/>
                <w:lang w:val="en-GB"/>
              </w:rPr>
              <w:t xml:space="preserve">Level </w:t>
            </w:r>
          </w:p>
        </w:tc>
      </w:tr>
      <w:tr w:rsidR="00AB5E0A" w:rsidRPr="00212308" w:rsidTr="009C14A3">
        <w:tc>
          <w:tcPr>
            <w:tcW w:w="1787" w:type="dxa"/>
          </w:tcPr>
          <w:p w:rsidR="00AB5E0A"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1</w:t>
            </w:r>
          </w:p>
          <w:p w:rsidR="00AB5E0A" w:rsidRPr="00212308" w:rsidRDefault="00AB5E0A" w:rsidP="009C14A3">
            <w:pPr>
              <w:jc w:val="center"/>
              <w:rPr>
                <w:b/>
                <w:bCs/>
                <w:sz w:val="20"/>
                <w:szCs w:val="20"/>
                <w:lang w:val="en-GB"/>
              </w:rPr>
            </w:pPr>
            <w:r w:rsidRPr="00212308">
              <w:rPr>
                <w:b/>
                <w:bCs/>
                <w:sz w:val="20"/>
                <w:szCs w:val="20"/>
                <w:lang w:val="en-GB"/>
              </w:rPr>
              <w:t>Mission &amp;</w:t>
            </w:r>
          </w:p>
          <w:p w:rsidR="00AB5E0A" w:rsidRPr="00212308" w:rsidRDefault="00AB5E0A" w:rsidP="009C14A3">
            <w:pPr>
              <w:jc w:val="center"/>
              <w:rPr>
                <w:b/>
                <w:bCs/>
                <w:sz w:val="20"/>
                <w:szCs w:val="20"/>
                <w:lang w:val="en-GB"/>
              </w:rPr>
            </w:pPr>
            <w:r w:rsidRPr="00212308">
              <w:rPr>
                <w:b/>
                <w:bCs/>
                <w:sz w:val="20"/>
                <w:szCs w:val="20"/>
                <w:lang w:val="en-GB"/>
              </w:rPr>
              <w:t>Objectives</w:t>
            </w:r>
          </w:p>
        </w:tc>
        <w:tc>
          <w:tcPr>
            <w:tcW w:w="1021" w:type="dxa"/>
          </w:tcPr>
          <w:p w:rsidR="00AB5E0A"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S1.1</w:t>
            </w:r>
          </w:p>
        </w:tc>
        <w:tc>
          <w:tcPr>
            <w:tcW w:w="4230" w:type="dxa"/>
            <w:shd w:val="clear" w:color="auto" w:fill="auto"/>
          </w:tcPr>
          <w:p w:rsidR="00AB5E0A" w:rsidRPr="00956405" w:rsidRDefault="00AB5E0A" w:rsidP="009C14A3">
            <w:pPr>
              <w:rPr>
                <w:color w:val="000000" w:themeColor="text1"/>
                <w:sz w:val="20"/>
                <w:szCs w:val="20"/>
                <w:lang w:val="en-GB"/>
              </w:rPr>
            </w:pPr>
            <w:r w:rsidRPr="00956405">
              <w:rPr>
                <w:color w:val="000000" w:themeColor="text1"/>
                <w:sz w:val="20"/>
                <w:szCs w:val="20"/>
                <w:lang w:val="en-GB"/>
              </w:rPr>
              <w:t xml:space="preserve">1. Stakeholders' awareness ratings of the Mission Statement and Objectives (Average rating on how well the mission is known to teaching staff, and undergraduate and graduate students, respectively, on a five- point scale in an annual survey). </w:t>
            </w:r>
          </w:p>
          <w:p w:rsidR="00AB5E0A" w:rsidRPr="00DB68B4" w:rsidRDefault="00AB5E0A" w:rsidP="009C14A3">
            <w:pPr>
              <w:rPr>
                <w:sz w:val="20"/>
                <w:szCs w:val="20"/>
                <w:lang w:val="en-GB"/>
              </w:rPr>
            </w:pPr>
          </w:p>
        </w:tc>
        <w:tc>
          <w:tcPr>
            <w:tcW w:w="2250" w:type="dxa"/>
            <w:shd w:val="clear" w:color="auto" w:fill="auto"/>
          </w:tcPr>
          <w:p w:rsidR="00AB5E0A"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tcPr>
          <w:p w:rsidR="00AB5E0A"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2</w:t>
            </w:r>
          </w:p>
          <w:p w:rsidR="00AB5E0A" w:rsidRPr="00212308" w:rsidRDefault="00AB5E0A" w:rsidP="009C14A3">
            <w:pPr>
              <w:jc w:val="center"/>
              <w:rPr>
                <w:b/>
                <w:bCs/>
                <w:sz w:val="20"/>
                <w:szCs w:val="20"/>
                <w:lang w:val="en-GB"/>
              </w:rPr>
            </w:pPr>
            <w:r w:rsidRPr="00212308">
              <w:rPr>
                <w:b/>
                <w:bCs/>
                <w:sz w:val="20"/>
                <w:szCs w:val="20"/>
                <w:lang w:val="en-GB"/>
              </w:rPr>
              <w:t xml:space="preserve">Governance </w:t>
            </w:r>
          </w:p>
          <w:p w:rsidR="00AB5E0A" w:rsidRPr="00212308" w:rsidRDefault="00AB5E0A" w:rsidP="009C14A3">
            <w:pPr>
              <w:jc w:val="center"/>
              <w:rPr>
                <w:b/>
                <w:bCs/>
                <w:sz w:val="20"/>
                <w:szCs w:val="20"/>
                <w:lang w:val="en-GB"/>
              </w:rPr>
            </w:pPr>
            <w:r w:rsidRPr="00212308">
              <w:rPr>
                <w:b/>
                <w:bCs/>
                <w:sz w:val="20"/>
                <w:szCs w:val="20"/>
                <w:lang w:val="en-GB"/>
              </w:rPr>
              <w:t>Administration</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S2.1</w:t>
            </w:r>
          </w:p>
        </w:tc>
        <w:tc>
          <w:tcPr>
            <w:tcW w:w="4230" w:type="dxa"/>
            <w:shd w:val="clear" w:color="auto" w:fill="auto"/>
          </w:tcPr>
          <w:p w:rsidR="00AB5E0A" w:rsidRPr="00DB68B4" w:rsidRDefault="00AB5E0A" w:rsidP="009C14A3">
            <w:pPr>
              <w:jc w:val="both"/>
              <w:rPr>
                <w:sz w:val="20"/>
                <w:szCs w:val="20"/>
                <w:lang w:val="en-GB"/>
              </w:rPr>
            </w:pPr>
            <w:r w:rsidRPr="00DB68B4">
              <w:rPr>
                <w:sz w:val="20"/>
                <w:szCs w:val="20"/>
                <w:lang w:val="en-GB"/>
              </w:rPr>
              <w:t xml:space="preserve">2. Stakeholder evaluation of the </w:t>
            </w:r>
            <w:r w:rsidRPr="00956405">
              <w:rPr>
                <w:color w:val="000000" w:themeColor="text1"/>
                <w:sz w:val="20"/>
                <w:szCs w:val="20"/>
                <w:lang w:val="en-GB"/>
              </w:rPr>
              <w:t>Policy Handbook, including administrative flow chart and job responsibilities (Average rating on the adequacy of the Policy Handbook on a five- point scale in an annual survey of teaching staff and</w:t>
            </w:r>
            <w:r>
              <w:rPr>
                <w:sz w:val="20"/>
                <w:szCs w:val="20"/>
                <w:lang w:val="en-GB"/>
              </w:rPr>
              <w:t xml:space="preserve"> </w:t>
            </w:r>
            <w:r w:rsidRPr="004A65BE">
              <w:rPr>
                <w:sz w:val="20"/>
                <w:szCs w:val="20"/>
                <w:u w:val="single"/>
                <w:lang w:val="en-GB"/>
              </w:rPr>
              <w:t>final year students).</w:t>
            </w:r>
          </w:p>
        </w:tc>
        <w:tc>
          <w:tcPr>
            <w:tcW w:w="2250" w:type="dxa"/>
            <w:shd w:val="clear" w:color="auto" w:fill="auto"/>
          </w:tcPr>
          <w:p w:rsidR="00AB5E0A"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3</w:t>
            </w:r>
          </w:p>
          <w:p w:rsidR="00AB5E0A" w:rsidRPr="00212308" w:rsidRDefault="00AB5E0A" w:rsidP="009C14A3">
            <w:pPr>
              <w:jc w:val="center"/>
              <w:rPr>
                <w:b/>
                <w:bCs/>
                <w:sz w:val="20"/>
                <w:szCs w:val="20"/>
                <w:lang w:val="en-GB"/>
              </w:rPr>
            </w:pPr>
            <w:r w:rsidRPr="00212308">
              <w:rPr>
                <w:b/>
                <w:bCs/>
                <w:sz w:val="20"/>
                <w:szCs w:val="20"/>
                <w:lang w:val="en-GB"/>
              </w:rPr>
              <w:t>Management of Quality Assurance and Improvement</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S3.1</w:t>
            </w:r>
          </w:p>
        </w:tc>
        <w:tc>
          <w:tcPr>
            <w:tcW w:w="4230" w:type="dxa"/>
            <w:shd w:val="clear" w:color="auto" w:fill="auto"/>
          </w:tcPr>
          <w:p w:rsidR="00AB5E0A" w:rsidRPr="00956405" w:rsidRDefault="00AB5E0A" w:rsidP="009C14A3">
            <w:pPr>
              <w:rPr>
                <w:color w:val="000000" w:themeColor="text1"/>
                <w:sz w:val="20"/>
                <w:szCs w:val="20"/>
                <w:lang w:val="en-GB"/>
              </w:rPr>
            </w:pPr>
            <w:r w:rsidRPr="00956405">
              <w:rPr>
                <w:color w:val="000000" w:themeColor="text1"/>
                <w:sz w:val="20"/>
                <w:szCs w:val="20"/>
                <w:lang w:val="en-GB"/>
              </w:rPr>
              <w:t xml:space="preserve">3.  Students' overall evaluation on the quality </w:t>
            </w:r>
            <w:r>
              <w:rPr>
                <w:color w:val="000000" w:themeColor="text1"/>
                <w:sz w:val="20"/>
                <w:szCs w:val="20"/>
                <w:lang w:val="en-GB"/>
              </w:rPr>
              <w:t>of their learning experiences</w:t>
            </w:r>
            <w:r w:rsidRPr="00956405">
              <w:rPr>
                <w:color w:val="000000" w:themeColor="text1"/>
                <w:sz w:val="20"/>
                <w:szCs w:val="20"/>
                <w:lang w:val="en-GB"/>
              </w:rPr>
              <w:t>.</w:t>
            </w:r>
          </w:p>
          <w:p w:rsidR="00AB5E0A" w:rsidRPr="00212308" w:rsidRDefault="00AB5E0A" w:rsidP="009C14A3">
            <w:pPr>
              <w:rPr>
                <w:sz w:val="20"/>
                <w:szCs w:val="20"/>
                <w:lang w:val="en-GB"/>
              </w:rPr>
            </w:pPr>
            <w:r w:rsidRPr="00956405">
              <w:rPr>
                <w:color w:val="000000" w:themeColor="text1"/>
                <w:sz w:val="20"/>
                <w:szCs w:val="20"/>
                <w:lang w:val="en-GB"/>
              </w:rPr>
              <w:t xml:space="preserve"> (Average rating of th</w:t>
            </w:r>
            <w:r>
              <w:rPr>
                <w:color w:val="000000" w:themeColor="text1"/>
                <w:sz w:val="20"/>
                <w:szCs w:val="20"/>
                <w:lang w:val="en-GB"/>
              </w:rPr>
              <w:t>e overall quality</w:t>
            </w:r>
            <w:r w:rsidRPr="00956405">
              <w:rPr>
                <w:color w:val="000000" w:themeColor="text1"/>
                <w:sz w:val="20"/>
                <w:szCs w:val="20"/>
                <w:lang w:val="en-GB"/>
              </w:rPr>
              <w:t xml:space="preserve"> on a five point scale in an annual survey of final year students</w:t>
            </w:r>
            <w:r w:rsidRPr="00212308">
              <w:rPr>
                <w:sz w:val="20"/>
                <w:szCs w:val="20"/>
                <w:lang w:val="en-GB"/>
              </w:rPr>
              <w:t xml:space="preserve">.) </w:t>
            </w:r>
          </w:p>
        </w:tc>
        <w:tc>
          <w:tcPr>
            <w:tcW w:w="225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S3.2</w:t>
            </w:r>
          </w:p>
        </w:tc>
        <w:tc>
          <w:tcPr>
            <w:tcW w:w="4230" w:type="dxa"/>
            <w:shd w:val="clear" w:color="auto" w:fill="auto"/>
          </w:tcPr>
          <w:p w:rsidR="00AB5E0A" w:rsidRPr="00212308" w:rsidRDefault="00AB5E0A" w:rsidP="009C14A3">
            <w:pPr>
              <w:rPr>
                <w:sz w:val="20"/>
                <w:szCs w:val="20"/>
                <w:lang w:val="en-GB"/>
              </w:rPr>
            </w:pPr>
            <w:r w:rsidRPr="00212308">
              <w:rPr>
                <w:sz w:val="20"/>
                <w:szCs w:val="20"/>
                <w:lang w:val="en-GB"/>
              </w:rPr>
              <w:t>4.  Proportion of courses in which student evaluations were conducted during the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S3.3</w:t>
            </w:r>
          </w:p>
        </w:tc>
        <w:tc>
          <w:tcPr>
            <w:tcW w:w="4230" w:type="dxa"/>
            <w:shd w:val="clear" w:color="auto" w:fill="auto"/>
          </w:tcPr>
          <w:p w:rsidR="00AB5E0A" w:rsidRPr="00212308" w:rsidRDefault="00AB5E0A" w:rsidP="009C14A3">
            <w:pPr>
              <w:rPr>
                <w:sz w:val="20"/>
                <w:szCs w:val="20"/>
                <w:lang w:val="en-GB"/>
              </w:rPr>
            </w:pPr>
            <w:r w:rsidRPr="00956405">
              <w:rPr>
                <w:color w:val="000000" w:themeColor="text1"/>
                <w:sz w:val="20"/>
                <w:szCs w:val="20"/>
                <w:lang w:val="en-GB"/>
              </w:rPr>
              <w:t>5.  Proportion of programs in which there was an independent verification, within the institution, of standards of student achievement during the</w:t>
            </w:r>
            <w:r w:rsidRPr="00212308">
              <w:rPr>
                <w:sz w:val="20"/>
                <w:szCs w:val="20"/>
                <w:lang w:val="en-GB"/>
              </w:rPr>
              <w:t xml:space="preserve">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S3.4</w:t>
            </w:r>
          </w:p>
        </w:tc>
        <w:tc>
          <w:tcPr>
            <w:tcW w:w="4230" w:type="dxa"/>
            <w:shd w:val="clear" w:color="auto" w:fill="auto"/>
          </w:tcPr>
          <w:p w:rsidR="00AB5E0A" w:rsidRPr="00212308" w:rsidRDefault="00AB5E0A" w:rsidP="009C14A3">
            <w:pPr>
              <w:rPr>
                <w:sz w:val="20"/>
                <w:szCs w:val="20"/>
                <w:lang w:val="en-GB"/>
              </w:rPr>
            </w:pPr>
            <w:r w:rsidRPr="00212308">
              <w:rPr>
                <w:sz w:val="20"/>
                <w:szCs w:val="20"/>
                <w:lang w:val="en-GB"/>
              </w:rPr>
              <w:t xml:space="preserve">6.  Proportion of programs in which </w:t>
            </w:r>
            <w:r w:rsidRPr="00956405">
              <w:rPr>
                <w:color w:val="000000" w:themeColor="text1"/>
                <w:sz w:val="20"/>
                <w:szCs w:val="20"/>
                <w:lang w:val="en-GB"/>
              </w:rPr>
              <w:t>there was an independent verification of standards of student achievement by people (evaluators) external to the institution during the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4</w:t>
            </w:r>
          </w:p>
          <w:p w:rsidR="00AB5E0A" w:rsidRPr="00212308" w:rsidRDefault="00AB5E0A" w:rsidP="009C14A3">
            <w:pPr>
              <w:jc w:val="center"/>
              <w:rPr>
                <w:b/>
                <w:bCs/>
                <w:sz w:val="20"/>
                <w:szCs w:val="20"/>
                <w:lang w:val="en-GB"/>
              </w:rPr>
            </w:pPr>
            <w:r w:rsidRPr="00212308">
              <w:rPr>
                <w:b/>
                <w:bCs/>
                <w:sz w:val="20"/>
                <w:szCs w:val="20"/>
                <w:lang w:val="en-GB"/>
              </w:rPr>
              <w:t>Learning and Teaching</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S4.1</w:t>
            </w:r>
          </w:p>
        </w:tc>
        <w:tc>
          <w:tcPr>
            <w:tcW w:w="423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7.  Ratio of students to teaching staff.</w:t>
            </w:r>
          </w:p>
          <w:p w:rsidR="00AB5E0A" w:rsidRPr="00212308" w:rsidRDefault="00AB5E0A" w:rsidP="009C14A3">
            <w:pPr>
              <w:rPr>
                <w:sz w:val="20"/>
                <w:szCs w:val="20"/>
                <w:lang w:val="en-GB"/>
              </w:rPr>
            </w:pPr>
            <w:r w:rsidRPr="00212308">
              <w:rPr>
                <w:sz w:val="20"/>
                <w:szCs w:val="20"/>
                <w:lang w:val="en-GB"/>
              </w:rPr>
              <w:t>(Based on full time equivalents)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Default="00AB5E0A" w:rsidP="009C14A3">
            <w:pPr>
              <w:rPr>
                <w:sz w:val="20"/>
                <w:szCs w:val="20"/>
                <w:lang w:val="en-GB"/>
              </w:rPr>
            </w:pPr>
            <w:r w:rsidRPr="00956405">
              <w:rPr>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S4.2</w:t>
            </w:r>
          </w:p>
        </w:tc>
        <w:tc>
          <w:tcPr>
            <w:tcW w:w="423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8.  Students overall rating on the quality of their courses.</w:t>
            </w:r>
          </w:p>
          <w:p w:rsidR="00AB5E0A" w:rsidRPr="00212308" w:rsidRDefault="00AB5E0A" w:rsidP="009C14A3">
            <w:pPr>
              <w:rPr>
                <w:sz w:val="20"/>
                <w:szCs w:val="20"/>
                <w:lang w:val="en-GB"/>
              </w:rPr>
            </w:pPr>
            <w:r w:rsidRPr="00212308">
              <w:rPr>
                <w:sz w:val="20"/>
                <w:szCs w:val="20"/>
                <w:lang w:val="en-GB"/>
              </w:rPr>
              <w:t>(Average rating of students on a five point scale on overall evaluation of courses.)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Default="00AB5E0A" w:rsidP="009C14A3">
            <w:pPr>
              <w:rPr>
                <w:sz w:val="20"/>
                <w:szCs w:val="20"/>
                <w:lang w:val="en-GB"/>
              </w:rPr>
            </w:pPr>
            <w:r w:rsidRPr="00956405">
              <w:rPr>
                <w:sz w:val="20"/>
                <w:szCs w:val="20"/>
                <w:lang w:val="en-GB"/>
              </w:rPr>
              <w:t xml:space="preserve">Institution </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S4.3</w:t>
            </w:r>
          </w:p>
        </w:tc>
        <w:tc>
          <w:tcPr>
            <w:tcW w:w="423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9.  Proportion of teaching staff with verified doctoral qualifications.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956405" w:rsidRDefault="00AB5E0A" w:rsidP="009C14A3">
            <w:pPr>
              <w:rPr>
                <w:color w:val="000000" w:themeColor="text1"/>
                <w:sz w:val="20"/>
                <w:szCs w:val="20"/>
                <w:lang w:val="en-GB"/>
              </w:rPr>
            </w:pPr>
            <w:r w:rsidRPr="00956405">
              <w:rPr>
                <w:color w:val="000000" w:themeColor="text1"/>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S4.4</w:t>
            </w:r>
          </w:p>
        </w:tc>
        <w:tc>
          <w:tcPr>
            <w:tcW w:w="4230" w:type="dxa"/>
            <w:shd w:val="clear" w:color="auto" w:fill="auto"/>
          </w:tcPr>
          <w:p w:rsidR="00AB5E0A" w:rsidRPr="00212308" w:rsidRDefault="00AB5E0A" w:rsidP="009C14A3">
            <w:pPr>
              <w:rPr>
                <w:sz w:val="20"/>
                <w:szCs w:val="20"/>
                <w:lang w:val="en-GB"/>
              </w:rPr>
            </w:pPr>
          </w:p>
          <w:p w:rsidR="00AB5E0A" w:rsidRPr="00956405" w:rsidRDefault="00AB5E0A" w:rsidP="009C14A3">
            <w:pPr>
              <w:rPr>
                <w:color w:val="000000" w:themeColor="text1"/>
                <w:sz w:val="20"/>
                <w:szCs w:val="20"/>
                <w:lang w:val="en-GB"/>
              </w:rPr>
            </w:pPr>
            <w:r w:rsidRPr="00956405">
              <w:rPr>
                <w:color w:val="000000" w:themeColor="text1"/>
                <w:sz w:val="20"/>
                <w:szCs w:val="20"/>
                <w:lang w:val="en-GB"/>
              </w:rPr>
              <w:t>Retention Rate</w:t>
            </w:r>
            <w:r>
              <w:rPr>
                <w:color w:val="000000" w:themeColor="text1"/>
                <w:sz w:val="20"/>
                <w:szCs w:val="20"/>
                <w:lang w:val="en-GB"/>
              </w:rPr>
              <w:t>;</w:t>
            </w:r>
            <w:r w:rsidRPr="00956405">
              <w:rPr>
                <w:color w:val="000000" w:themeColor="text1"/>
                <w:sz w:val="20"/>
                <w:szCs w:val="20"/>
                <w:lang w:val="en-GB"/>
              </w:rPr>
              <w:t xml:space="preserve"> </w:t>
            </w:r>
          </w:p>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10.  Percentage of students entering programs who successfully complete first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956405" w:rsidRDefault="00AB5E0A" w:rsidP="009C14A3">
            <w:pPr>
              <w:rPr>
                <w:color w:val="000000" w:themeColor="text1"/>
                <w:sz w:val="20"/>
                <w:szCs w:val="20"/>
                <w:lang w:val="en-GB"/>
              </w:rPr>
            </w:pPr>
            <w:r w:rsidRPr="00956405">
              <w:rPr>
                <w:color w:val="000000" w:themeColor="text1"/>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S4.5</w:t>
            </w:r>
          </w:p>
        </w:tc>
        <w:tc>
          <w:tcPr>
            <w:tcW w:w="4230" w:type="dxa"/>
            <w:shd w:val="clear" w:color="auto" w:fill="auto"/>
          </w:tcPr>
          <w:p w:rsidR="00AB5E0A" w:rsidRPr="00956405" w:rsidRDefault="00AB5E0A" w:rsidP="009C14A3">
            <w:pPr>
              <w:rPr>
                <w:color w:val="000000" w:themeColor="text1"/>
                <w:sz w:val="20"/>
                <w:szCs w:val="20"/>
                <w:lang w:val="en-GB"/>
              </w:rPr>
            </w:pPr>
          </w:p>
          <w:p w:rsidR="00AB5E0A" w:rsidRDefault="00AB5E0A" w:rsidP="009C14A3">
            <w:pPr>
              <w:rPr>
                <w:color w:val="000000" w:themeColor="text1"/>
                <w:sz w:val="20"/>
                <w:szCs w:val="20"/>
                <w:lang w:val="en-GB"/>
              </w:rPr>
            </w:pPr>
            <w:r w:rsidRPr="00956405">
              <w:rPr>
                <w:color w:val="000000" w:themeColor="text1"/>
                <w:sz w:val="20"/>
                <w:szCs w:val="20"/>
                <w:lang w:val="en-GB"/>
              </w:rPr>
              <w:t>Graduation Rate for Undergraduate Students</w:t>
            </w:r>
            <w:r>
              <w:rPr>
                <w:color w:val="000000" w:themeColor="text1"/>
                <w:sz w:val="20"/>
                <w:szCs w:val="20"/>
                <w:lang w:val="en-GB"/>
              </w:rPr>
              <w:t>:</w:t>
            </w:r>
          </w:p>
          <w:p w:rsidR="00AB5E0A" w:rsidRPr="00956405" w:rsidRDefault="00AB5E0A" w:rsidP="009C14A3">
            <w:pPr>
              <w:rPr>
                <w:color w:val="000000" w:themeColor="text1"/>
                <w:sz w:val="20"/>
                <w:szCs w:val="20"/>
                <w:lang w:val="en-GB"/>
              </w:rPr>
            </w:pPr>
          </w:p>
          <w:p w:rsidR="00AB5E0A" w:rsidRPr="00956405" w:rsidRDefault="00AB5E0A" w:rsidP="009C14A3">
            <w:pPr>
              <w:rPr>
                <w:color w:val="000000" w:themeColor="text1"/>
                <w:sz w:val="20"/>
                <w:szCs w:val="20"/>
                <w:lang w:val="en-GB"/>
              </w:rPr>
            </w:pPr>
            <w:r w:rsidRPr="00956405">
              <w:rPr>
                <w:color w:val="000000" w:themeColor="text1"/>
                <w:sz w:val="20"/>
                <w:szCs w:val="20"/>
                <w:lang w:val="en-GB"/>
              </w:rPr>
              <w:t>11.  Proportion of students entering undergraduate programs who complete those programs in minimum time.</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956405" w:rsidRDefault="00AB5E0A" w:rsidP="009C14A3">
            <w:pPr>
              <w:rPr>
                <w:sz w:val="20"/>
                <w:szCs w:val="20"/>
                <w:lang w:val="en-GB"/>
              </w:rPr>
            </w:pPr>
            <w:r w:rsidRPr="00956405">
              <w:rPr>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S4.6</w:t>
            </w:r>
          </w:p>
        </w:tc>
        <w:tc>
          <w:tcPr>
            <w:tcW w:w="4230" w:type="dxa"/>
            <w:shd w:val="clear" w:color="auto" w:fill="auto"/>
          </w:tcPr>
          <w:p w:rsidR="00AB5E0A" w:rsidRPr="00956405" w:rsidRDefault="00AB5E0A" w:rsidP="009C14A3">
            <w:pPr>
              <w:rPr>
                <w:color w:val="000000" w:themeColor="text1"/>
                <w:sz w:val="20"/>
                <w:szCs w:val="20"/>
                <w:lang w:val="en-GB"/>
              </w:rPr>
            </w:pPr>
          </w:p>
          <w:p w:rsidR="00AB5E0A" w:rsidRPr="00956405" w:rsidRDefault="00AB5E0A" w:rsidP="009C14A3">
            <w:pPr>
              <w:rPr>
                <w:color w:val="000000" w:themeColor="text1"/>
                <w:sz w:val="20"/>
                <w:szCs w:val="20"/>
                <w:lang w:val="en-GB"/>
              </w:rPr>
            </w:pPr>
            <w:r w:rsidRPr="00956405">
              <w:rPr>
                <w:color w:val="000000" w:themeColor="text1"/>
                <w:sz w:val="20"/>
                <w:szCs w:val="20"/>
                <w:lang w:val="en-GB"/>
              </w:rPr>
              <w:t>Graduation Rates for Post Graduate Students</w:t>
            </w:r>
            <w:r>
              <w:rPr>
                <w:color w:val="000000" w:themeColor="text1"/>
                <w:sz w:val="20"/>
                <w:szCs w:val="20"/>
                <w:lang w:val="en-GB"/>
              </w:rPr>
              <w:t>:</w:t>
            </w:r>
          </w:p>
          <w:p w:rsidR="00AB5E0A" w:rsidRPr="00956405" w:rsidRDefault="00AB5E0A" w:rsidP="009C14A3">
            <w:pPr>
              <w:rPr>
                <w:color w:val="000000" w:themeColor="text1"/>
                <w:sz w:val="20"/>
                <w:szCs w:val="20"/>
                <w:lang w:val="en-GB"/>
              </w:rPr>
            </w:pPr>
          </w:p>
          <w:p w:rsidR="00AB5E0A" w:rsidRPr="00956405" w:rsidRDefault="00AB5E0A" w:rsidP="009C14A3">
            <w:pPr>
              <w:rPr>
                <w:color w:val="000000" w:themeColor="text1"/>
                <w:sz w:val="20"/>
                <w:szCs w:val="20"/>
                <w:lang w:val="en-GB"/>
              </w:rPr>
            </w:pPr>
            <w:r w:rsidRPr="00956405">
              <w:rPr>
                <w:color w:val="000000" w:themeColor="text1"/>
                <w:sz w:val="20"/>
                <w:szCs w:val="20"/>
                <w:lang w:val="en-GB"/>
              </w:rPr>
              <w:t>12.  Proportion of students entering post graduate programs who complete those programs in specified time.</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956405" w:rsidRDefault="00AB5E0A" w:rsidP="009C14A3">
            <w:pPr>
              <w:rPr>
                <w:sz w:val="20"/>
                <w:szCs w:val="20"/>
                <w:lang w:val="en-GB"/>
              </w:rPr>
            </w:pPr>
            <w:r w:rsidRPr="00956405">
              <w:rPr>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S4.7</w:t>
            </w:r>
          </w:p>
        </w:tc>
        <w:tc>
          <w:tcPr>
            <w:tcW w:w="423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13.  Proportion of graduates from undergraduate programs who within six months of graduation are:</w:t>
            </w:r>
          </w:p>
          <w:p w:rsidR="00AB5E0A" w:rsidRPr="00212308" w:rsidRDefault="00AB5E0A" w:rsidP="00AB5E0A">
            <w:pPr>
              <w:numPr>
                <w:ilvl w:val="0"/>
                <w:numId w:val="9"/>
              </w:numPr>
              <w:rPr>
                <w:sz w:val="20"/>
                <w:szCs w:val="20"/>
                <w:lang w:val="en-GB"/>
              </w:rPr>
            </w:pPr>
            <w:r w:rsidRPr="00212308">
              <w:rPr>
                <w:sz w:val="20"/>
                <w:szCs w:val="20"/>
                <w:lang w:val="en-GB"/>
              </w:rPr>
              <w:t xml:space="preserve">employed </w:t>
            </w:r>
          </w:p>
          <w:p w:rsidR="00AB5E0A" w:rsidRPr="00212308" w:rsidRDefault="00AB5E0A" w:rsidP="00AB5E0A">
            <w:pPr>
              <w:numPr>
                <w:ilvl w:val="0"/>
                <w:numId w:val="9"/>
              </w:numPr>
              <w:rPr>
                <w:sz w:val="20"/>
                <w:szCs w:val="20"/>
                <w:lang w:val="en-GB"/>
              </w:rPr>
            </w:pPr>
            <w:r w:rsidRPr="00212308">
              <w:rPr>
                <w:sz w:val="20"/>
                <w:szCs w:val="20"/>
                <w:lang w:val="en-GB"/>
              </w:rPr>
              <w:t>enrolled in further study</w:t>
            </w:r>
          </w:p>
          <w:p w:rsidR="00AB5E0A" w:rsidRPr="00212308" w:rsidRDefault="00AB5E0A" w:rsidP="00AB5E0A">
            <w:pPr>
              <w:numPr>
                <w:ilvl w:val="0"/>
                <w:numId w:val="9"/>
              </w:numPr>
              <w:rPr>
                <w:sz w:val="20"/>
                <w:szCs w:val="20"/>
                <w:lang w:val="en-GB"/>
              </w:rPr>
            </w:pPr>
            <w:r w:rsidRPr="00212308">
              <w:rPr>
                <w:sz w:val="20"/>
                <w:szCs w:val="20"/>
                <w:lang w:val="en-GB"/>
              </w:rPr>
              <w:t>not seeking employment or further study</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956405" w:rsidRDefault="00AB5E0A" w:rsidP="009C14A3">
            <w:pPr>
              <w:rPr>
                <w:sz w:val="20"/>
                <w:szCs w:val="20"/>
                <w:lang w:val="en-GB"/>
              </w:rPr>
            </w:pPr>
            <w:r w:rsidRPr="00956405">
              <w:rPr>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5</w:t>
            </w:r>
          </w:p>
          <w:p w:rsidR="00AB5E0A" w:rsidRPr="00212308" w:rsidRDefault="00AB5E0A" w:rsidP="009C14A3">
            <w:pPr>
              <w:jc w:val="center"/>
              <w:rPr>
                <w:b/>
                <w:bCs/>
                <w:sz w:val="20"/>
                <w:szCs w:val="20"/>
                <w:lang w:val="en-GB"/>
              </w:rPr>
            </w:pPr>
            <w:r w:rsidRPr="00212308">
              <w:rPr>
                <w:b/>
                <w:bCs/>
                <w:sz w:val="20"/>
                <w:szCs w:val="20"/>
                <w:lang w:val="en-GB"/>
              </w:rPr>
              <w:t>Student Administration and Support Services</w:t>
            </w:r>
          </w:p>
        </w:tc>
        <w:tc>
          <w:tcPr>
            <w:tcW w:w="1021" w:type="dxa"/>
          </w:tcPr>
          <w:p w:rsidR="00AB5E0A" w:rsidRPr="00212308" w:rsidRDefault="00AB5E0A" w:rsidP="009C14A3">
            <w:pPr>
              <w:jc w:val="center"/>
              <w:rPr>
                <w:b/>
                <w:bCs/>
                <w:lang w:val="en-GB"/>
              </w:rPr>
            </w:pPr>
            <w:r w:rsidRPr="00212308">
              <w:rPr>
                <w:b/>
                <w:bCs/>
                <w:lang w:val="en-GB"/>
              </w:rPr>
              <w:t>S5.1</w:t>
            </w:r>
          </w:p>
        </w:tc>
        <w:tc>
          <w:tcPr>
            <w:tcW w:w="4230" w:type="dxa"/>
            <w:shd w:val="clear" w:color="auto" w:fill="auto"/>
          </w:tcPr>
          <w:p w:rsidR="00AB5E0A" w:rsidRPr="00212308" w:rsidRDefault="00AB5E0A" w:rsidP="009C14A3">
            <w:pPr>
              <w:rPr>
                <w:sz w:val="20"/>
                <w:szCs w:val="20"/>
                <w:lang w:val="en-GB"/>
              </w:rPr>
            </w:pPr>
            <w:r w:rsidRPr="00212308">
              <w:rPr>
                <w:sz w:val="20"/>
                <w:szCs w:val="20"/>
                <w:lang w:val="en-GB"/>
              </w:rPr>
              <w:t>14.  Ratio of students to administrative staff</w:t>
            </w:r>
            <w:r>
              <w:rPr>
                <w:sz w:val="20"/>
                <w:szCs w:val="20"/>
                <w:lang w:val="en-GB"/>
              </w:rPr>
              <w:t>.</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S5.2</w:t>
            </w:r>
          </w:p>
        </w:tc>
        <w:tc>
          <w:tcPr>
            <w:tcW w:w="4230" w:type="dxa"/>
            <w:shd w:val="clear" w:color="auto" w:fill="auto"/>
          </w:tcPr>
          <w:p w:rsidR="00AB5E0A" w:rsidRPr="00212308" w:rsidRDefault="00AB5E0A" w:rsidP="009C14A3">
            <w:pPr>
              <w:rPr>
                <w:sz w:val="20"/>
                <w:szCs w:val="20"/>
                <w:lang w:val="en-GB"/>
              </w:rPr>
            </w:pPr>
            <w:r w:rsidRPr="00212308">
              <w:rPr>
                <w:sz w:val="20"/>
                <w:szCs w:val="20"/>
                <w:lang w:val="en-GB"/>
              </w:rPr>
              <w:t>15.  Proportion of total operating funds (other than accommodation and student allowances) allocated to provision of student services.</w:t>
            </w:r>
          </w:p>
        </w:tc>
        <w:tc>
          <w:tcPr>
            <w:tcW w:w="225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S5.3</w:t>
            </w:r>
          </w:p>
        </w:tc>
        <w:tc>
          <w:tcPr>
            <w:tcW w:w="4230" w:type="dxa"/>
            <w:shd w:val="clear" w:color="auto" w:fill="auto"/>
          </w:tcPr>
          <w:p w:rsidR="00AB5E0A" w:rsidRPr="00956405" w:rsidRDefault="00AB5E0A" w:rsidP="009C14A3">
            <w:pPr>
              <w:rPr>
                <w:color w:val="000000" w:themeColor="text1"/>
                <w:sz w:val="20"/>
                <w:szCs w:val="20"/>
                <w:lang w:val="en-GB"/>
              </w:rPr>
            </w:pPr>
            <w:r w:rsidRPr="00956405">
              <w:rPr>
                <w:color w:val="000000" w:themeColor="text1"/>
                <w:sz w:val="20"/>
                <w:szCs w:val="20"/>
                <w:lang w:val="en-GB"/>
              </w:rPr>
              <w:t xml:space="preserve">16.  Student evaluation of academic and career counselling.  (Average rating on the adequacy of academic and career counselling on a five- point scale in an annual survey of final year students.) </w:t>
            </w:r>
          </w:p>
        </w:tc>
        <w:tc>
          <w:tcPr>
            <w:tcW w:w="2250" w:type="dxa"/>
            <w:shd w:val="clear" w:color="auto" w:fill="auto"/>
          </w:tcPr>
          <w:p w:rsidR="00AB5E0A" w:rsidRPr="00956405" w:rsidRDefault="00AB5E0A" w:rsidP="009C14A3">
            <w:pPr>
              <w:rPr>
                <w:color w:val="000000" w:themeColor="text1"/>
                <w:sz w:val="20"/>
                <w:szCs w:val="20"/>
                <w:lang w:val="en-GB"/>
              </w:rPr>
            </w:pPr>
            <w:r w:rsidRPr="00956405">
              <w:rPr>
                <w:color w:val="000000" w:themeColor="text1"/>
                <w:sz w:val="20"/>
                <w:szCs w:val="20"/>
                <w:lang w:val="en-GB"/>
              </w:rPr>
              <w:t>Program</w:t>
            </w:r>
          </w:p>
          <w:p w:rsidR="00AB5E0A" w:rsidRPr="00956405" w:rsidRDefault="00AB5E0A" w:rsidP="009C14A3">
            <w:pPr>
              <w:rPr>
                <w:color w:val="000000" w:themeColor="text1"/>
                <w:sz w:val="20"/>
                <w:szCs w:val="20"/>
                <w:lang w:val="en-GB"/>
              </w:rPr>
            </w:pPr>
            <w:r w:rsidRPr="00956405">
              <w:rPr>
                <w:color w:val="000000" w:themeColor="text1"/>
                <w:sz w:val="20"/>
                <w:szCs w:val="20"/>
                <w:lang w:val="en-GB"/>
              </w:rPr>
              <w:t>College</w:t>
            </w:r>
          </w:p>
          <w:p w:rsidR="00AB5E0A" w:rsidRPr="00956405" w:rsidRDefault="00AB5E0A" w:rsidP="009C14A3">
            <w:pPr>
              <w:rPr>
                <w:color w:val="000000" w:themeColor="text1"/>
                <w:sz w:val="20"/>
                <w:szCs w:val="20"/>
                <w:lang w:val="en-GB"/>
              </w:rPr>
            </w:pPr>
            <w:r w:rsidRPr="00956405">
              <w:rPr>
                <w:color w:val="000000" w:themeColor="text1"/>
                <w:sz w:val="20"/>
                <w:szCs w:val="20"/>
                <w:lang w:val="en-GB"/>
              </w:rPr>
              <w:t>Institution</w:t>
            </w:r>
          </w:p>
          <w:p w:rsidR="00AB5E0A" w:rsidRPr="00956405" w:rsidRDefault="00AB5E0A" w:rsidP="009C14A3">
            <w:pPr>
              <w:rPr>
                <w:color w:val="000000" w:themeColor="text1"/>
                <w:sz w:val="20"/>
                <w:szCs w:val="20"/>
                <w:lang w:val="en-GB"/>
              </w:rPr>
            </w:pP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6</w:t>
            </w:r>
          </w:p>
          <w:p w:rsidR="00AB5E0A" w:rsidRPr="00212308" w:rsidRDefault="00AB5E0A" w:rsidP="009C14A3">
            <w:pPr>
              <w:jc w:val="center"/>
              <w:rPr>
                <w:b/>
                <w:bCs/>
                <w:sz w:val="20"/>
                <w:szCs w:val="20"/>
                <w:lang w:val="en-GB"/>
              </w:rPr>
            </w:pPr>
            <w:r w:rsidRPr="00212308">
              <w:rPr>
                <w:b/>
                <w:bCs/>
                <w:sz w:val="20"/>
                <w:szCs w:val="20"/>
                <w:lang w:val="en-GB"/>
              </w:rPr>
              <w:t>Learning Resources</w:t>
            </w:r>
          </w:p>
        </w:tc>
        <w:tc>
          <w:tcPr>
            <w:tcW w:w="1021" w:type="dxa"/>
            <w:shd w:val="clear" w:color="auto" w:fill="auto"/>
          </w:tcPr>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S6.1</w:t>
            </w:r>
          </w:p>
        </w:tc>
        <w:tc>
          <w:tcPr>
            <w:tcW w:w="4230" w:type="dxa"/>
            <w:shd w:val="clear" w:color="auto" w:fill="auto"/>
          </w:tcPr>
          <w:p w:rsidR="00AB5E0A" w:rsidRDefault="00AB5E0A" w:rsidP="009C14A3">
            <w:pPr>
              <w:rPr>
                <w:color w:val="000000" w:themeColor="text1"/>
                <w:sz w:val="20"/>
                <w:szCs w:val="20"/>
                <w:lang w:val="en-GB"/>
              </w:rPr>
            </w:pPr>
            <w:r>
              <w:rPr>
                <w:color w:val="000000" w:themeColor="text1"/>
                <w:sz w:val="20"/>
                <w:szCs w:val="20"/>
                <w:lang w:val="en-GB"/>
              </w:rPr>
              <w:t xml:space="preserve">17.  Stakeholder evaluation of library and media center. (Average overall rating of the adequacy of the library &amp; media center, including: </w:t>
            </w:r>
          </w:p>
          <w:p w:rsidR="00AB5E0A"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S</w:t>
            </w:r>
            <w:r w:rsidRPr="00694A63">
              <w:rPr>
                <w:color w:val="000000" w:themeColor="text1"/>
                <w:sz w:val="20"/>
                <w:szCs w:val="20"/>
                <w:lang w:val="en-GB"/>
              </w:rPr>
              <w:t>taff assistance,</w:t>
            </w:r>
          </w:p>
          <w:p w:rsidR="00AB5E0A"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 xml:space="preserve">Current and up-to-date </w:t>
            </w:r>
          </w:p>
          <w:p w:rsidR="00AB5E0A"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C</w:t>
            </w:r>
            <w:r w:rsidRPr="00694A63">
              <w:rPr>
                <w:color w:val="000000" w:themeColor="text1"/>
                <w:sz w:val="20"/>
                <w:szCs w:val="20"/>
                <w:lang w:val="en-GB"/>
              </w:rPr>
              <w:t xml:space="preserve">opy &amp; print facilities, </w:t>
            </w:r>
          </w:p>
          <w:p w:rsidR="00AB5E0A" w:rsidRDefault="00AB5E0A" w:rsidP="00AB5E0A">
            <w:pPr>
              <w:pStyle w:val="ListParagraph"/>
              <w:numPr>
                <w:ilvl w:val="0"/>
                <w:numId w:val="10"/>
              </w:numPr>
              <w:rPr>
                <w:color w:val="000000" w:themeColor="text1"/>
                <w:sz w:val="20"/>
                <w:szCs w:val="20"/>
                <w:lang w:val="en-GB"/>
              </w:rPr>
            </w:pPr>
            <w:r w:rsidRPr="00694A63">
              <w:rPr>
                <w:color w:val="000000" w:themeColor="text1"/>
                <w:sz w:val="20"/>
                <w:szCs w:val="20"/>
                <w:lang w:val="en-GB"/>
              </w:rPr>
              <w:t xml:space="preserve">Functionality of equipment, </w:t>
            </w:r>
          </w:p>
          <w:p w:rsidR="00AB5E0A"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A</w:t>
            </w:r>
            <w:r w:rsidRPr="00694A63">
              <w:rPr>
                <w:color w:val="000000" w:themeColor="text1"/>
                <w:sz w:val="20"/>
                <w:szCs w:val="20"/>
                <w:lang w:val="en-GB"/>
              </w:rPr>
              <w:t>tmosphere or climate for</w:t>
            </w:r>
            <w:r>
              <w:rPr>
                <w:color w:val="000000" w:themeColor="text1"/>
                <w:sz w:val="20"/>
                <w:szCs w:val="20"/>
                <w:lang w:val="en-GB"/>
              </w:rPr>
              <w:t xml:space="preserve"> studying</w:t>
            </w:r>
          </w:p>
          <w:p w:rsidR="00AB5E0A"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Availability of study sites</w:t>
            </w:r>
            <w:r w:rsidRPr="00694A63">
              <w:rPr>
                <w:color w:val="000000" w:themeColor="text1"/>
                <w:sz w:val="20"/>
                <w:szCs w:val="20"/>
                <w:lang w:val="en-GB"/>
              </w:rPr>
              <w:t xml:space="preserve">, and </w:t>
            </w:r>
          </w:p>
          <w:p w:rsidR="00AB5E0A" w:rsidRPr="00694A63"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A</w:t>
            </w:r>
            <w:r w:rsidRPr="00694A63">
              <w:rPr>
                <w:color w:val="000000" w:themeColor="text1"/>
                <w:sz w:val="20"/>
                <w:szCs w:val="20"/>
                <w:lang w:val="en-GB"/>
              </w:rPr>
              <w:t>ny other quality indicators of service on a five- point scale of an annual survey.)   .</w:t>
            </w:r>
          </w:p>
        </w:tc>
        <w:tc>
          <w:tcPr>
            <w:tcW w:w="2250" w:type="dxa"/>
            <w:shd w:val="clear" w:color="auto" w:fill="auto"/>
          </w:tcPr>
          <w:p w:rsidR="00AB5E0A" w:rsidRDefault="00AB5E0A" w:rsidP="009C14A3">
            <w:pPr>
              <w:rPr>
                <w:color w:val="000000" w:themeColor="text1"/>
                <w:sz w:val="20"/>
                <w:szCs w:val="20"/>
                <w:lang w:val="en-GB"/>
              </w:rPr>
            </w:pPr>
          </w:p>
          <w:p w:rsidR="00AB5E0A" w:rsidRDefault="00AB5E0A" w:rsidP="009C14A3">
            <w:pPr>
              <w:rPr>
                <w:color w:val="000000" w:themeColor="text1"/>
                <w:sz w:val="20"/>
                <w:szCs w:val="20"/>
                <w:lang w:val="en-GB"/>
              </w:rPr>
            </w:pPr>
          </w:p>
          <w:p w:rsidR="00AB5E0A" w:rsidRDefault="00AB5E0A" w:rsidP="009C14A3">
            <w:pPr>
              <w:rPr>
                <w:color w:val="000000" w:themeColor="text1"/>
                <w:sz w:val="20"/>
                <w:szCs w:val="20"/>
                <w:lang w:val="en-GB"/>
              </w:rPr>
            </w:pPr>
            <w:r>
              <w:rPr>
                <w:color w:val="000000" w:themeColor="text1"/>
                <w:sz w:val="20"/>
                <w:szCs w:val="20"/>
                <w:lang w:val="en-GB"/>
              </w:rPr>
              <w:t>Program</w:t>
            </w:r>
          </w:p>
          <w:p w:rsidR="00AB5E0A" w:rsidRPr="00956405" w:rsidRDefault="00AB5E0A" w:rsidP="009C14A3">
            <w:pPr>
              <w:rPr>
                <w:color w:val="000000" w:themeColor="text1"/>
                <w:sz w:val="20"/>
                <w:szCs w:val="20"/>
                <w:lang w:val="en-GB"/>
              </w:rPr>
            </w:pPr>
            <w:r w:rsidRPr="00956405">
              <w:rPr>
                <w:color w:val="000000" w:themeColor="text1"/>
                <w:sz w:val="20"/>
                <w:szCs w:val="20"/>
                <w:lang w:val="en-GB"/>
              </w:rPr>
              <w:t>Institution</w:t>
            </w:r>
          </w:p>
          <w:p w:rsidR="00AB5E0A" w:rsidRPr="00956405" w:rsidRDefault="00AB5E0A" w:rsidP="009C14A3">
            <w:pPr>
              <w:rPr>
                <w:color w:val="000000" w:themeColor="text1"/>
                <w:sz w:val="20"/>
                <w:szCs w:val="20"/>
                <w:lang w:val="en-GB"/>
              </w:rPr>
            </w:pPr>
            <w:r>
              <w:rPr>
                <w:color w:val="000000" w:themeColor="text1"/>
                <w:sz w:val="20"/>
                <w:szCs w:val="20"/>
                <w:lang w:val="en-GB"/>
              </w:rPr>
              <w:t>Separate data</w:t>
            </w:r>
            <w:r w:rsidRPr="00956405">
              <w:rPr>
                <w:color w:val="000000" w:themeColor="text1"/>
                <w:sz w:val="20"/>
                <w:szCs w:val="20"/>
                <w:lang w:val="en-GB"/>
              </w:rPr>
              <w:t xml:space="preserve"> for male and female sections and combined for all.</w:t>
            </w:r>
          </w:p>
        </w:tc>
      </w:tr>
      <w:tr w:rsidR="00AB5E0A" w:rsidRPr="00212308" w:rsidTr="009C14A3">
        <w:trPr>
          <w:trHeight w:val="928"/>
        </w:trPr>
        <w:tc>
          <w:tcPr>
            <w:tcW w:w="1787" w:type="dxa"/>
            <w:vMerge/>
          </w:tcPr>
          <w:p w:rsidR="00AB5E0A" w:rsidRPr="00212308" w:rsidRDefault="00AB5E0A" w:rsidP="009C14A3">
            <w:pPr>
              <w:jc w:val="center"/>
              <w:rPr>
                <w:b/>
                <w:bCs/>
                <w:sz w:val="20"/>
                <w:szCs w:val="20"/>
                <w:lang w:val="en-GB"/>
              </w:rPr>
            </w:pPr>
          </w:p>
        </w:tc>
        <w:tc>
          <w:tcPr>
            <w:tcW w:w="1021" w:type="dxa"/>
          </w:tcPr>
          <w:p w:rsidR="00AB5E0A" w:rsidRDefault="00AB5E0A" w:rsidP="009C14A3">
            <w:pPr>
              <w:jc w:val="center"/>
              <w:rPr>
                <w:b/>
                <w:bCs/>
                <w:lang w:val="en-GB"/>
              </w:rPr>
            </w:pPr>
          </w:p>
          <w:p w:rsidR="00AB5E0A" w:rsidRPr="00212308" w:rsidRDefault="00AB5E0A" w:rsidP="009C14A3">
            <w:pPr>
              <w:jc w:val="center"/>
              <w:rPr>
                <w:b/>
                <w:bCs/>
                <w:lang w:val="en-GB"/>
              </w:rPr>
            </w:pPr>
            <w:r>
              <w:rPr>
                <w:b/>
                <w:bCs/>
                <w:lang w:val="en-GB"/>
              </w:rPr>
              <w:t>S6.2</w:t>
            </w:r>
          </w:p>
          <w:p w:rsidR="00AB5E0A" w:rsidRPr="00212308" w:rsidRDefault="00AB5E0A" w:rsidP="009C14A3">
            <w:pPr>
              <w:jc w:val="center"/>
              <w:rPr>
                <w:b/>
                <w:bCs/>
                <w:lang w:val="en-GB"/>
              </w:rPr>
            </w:pPr>
          </w:p>
        </w:tc>
        <w:tc>
          <w:tcPr>
            <w:tcW w:w="4230" w:type="dxa"/>
            <w:shd w:val="clear" w:color="auto" w:fill="auto"/>
          </w:tcPr>
          <w:p w:rsidR="00AB5E0A" w:rsidRPr="00956405" w:rsidRDefault="00AB5E0A" w:rsidP="009C14A3">
            <w:pPr>
              <w:rPr>
                <w:color w:val="000000" w:themeColor="text1"/>
                <w:sz w:val="20"/>
                <w:szCs w:val="20"/>
                <w:lang w:val="en-GB"/>
              </w:rPr>
            </w:pPr>
            <w:r w:rsidRPr="00956405">
              <w:rPr>
                <w:color w:val="000000" w:themeColor="text1"/>
                <w:sz w:val="20"/>
                <w:szCs w:val="20"/>
                <w:lang w:val="en-GB"/>
              </w:rPr>
              <w:t>18.  Number of web site</w:t>
            </w:r>
            <w:r>
              <w:rPr>
                <w:color w:val="000000" w:themeColor="text1"/>
                <w:sz w:val="20"/>
                <w:szCs w:val="20"/>
                <w:lang w:val="en-GB"/>
              </w:rPr>
              <w:t xml:space="preserve"> publication and journal</w:t>
            </w:r>
            <w:r w:rsidRPr="00956405">
              <w:rPr>
                <w:color w:val="000000" w:themeColor="text1"/>
                <w:sz w:val="20"/>
                <w:szCs w:val="20"/>
                <w:lang w:val="en-GB"/>
              </w:rPr>
              <w:t xml:space="preserve"> subscriptions as a proportion of the number of programs offered.</w:t>
            </w:r>
          </w:p>
        </w:tc>
        <w:tc>
          <w:tcPr>
            <w:tcW w:w="2250" w:type="dxa"/>
            <w:shd w:val="clear" w:color="auto" w:fill="auto"/>
          </w:tcPr>
          <w:p w:rsidR="00AB5E0A" w:rsidRDefault="00AB5E0A" w:rsidP="009C14A3">
            <w:pPr>
              <w:rPr>
                <w:color w:val="000000" w:themeColor="text1"/>
                <w:sz w:val="20"/>
                <w:szCs w:val="20"/>
                <w:lang w:val="en-GB"/>
              </w:rPr>
            </w:pPr>
          </w:p>
          <w:p w:rsidR="00AB5E0A" w:rsidRDefault="00AB5E0A" w:rsidP="009C14A3">
            <w:pPr>
              <w:rPr>
                <w:color w:val="000000" w:themeColor="text1"/>
                <w:sz w:val="20"/>
                <w:szCs w:val="20"/>
                <w:lang w:val="en-GB"/>
              </w:rPr>
            </w:pPr>
            <w:r w:rsidRPr="00956405">
              <w:rPr>
                <w:color w:val="000000" w:themeColor="text1"/>
                <w:sz w:val="20"/>
                <w:szCs w:val="20"/>
                <w:lang w:val="en-GB"/>
              </w:rPr>
              <w:t>Institution</w:t>
            </w:r>
          </w:p>
          <w:p w:rsidR="00AB5E0A" w:rsidRPr="00956405" w:rsidRDefault="00AB5E0A" w:rsidP="009C14A3">
            <w:pPr>
              <w:rPr>
                <w:color w:val="000000" w:themeColor="text1"/>
                <w:sz w:val="20"/>
                <w:szCs w:val="20"/>
                <w:lang w:val="en-GB"/>
              </w:rPr>
            </w:pPr>
            <w:r>
              <w:rPr>
                <w:color w:val="000000" w:themeColor="text1"/>
                <w:sz w:val="20"/>
                <w:szCs w:val="20"/>
                <w:lang w:val="en-GB"/>
              </w:rPr>
              <w:t>College</w:t>
            </w:r>
          </w:p>
          <w:p w:rsidR="00AB5E0A" w:rsidRPr="00956405" w:rsidRDefault="00AB5E0A" w:rsidP="009C14A3">
            <w:pPr>
              <w:rPr>
                <w:color w:val="000000" w:themeColor="text1"/>
                <w:sz w:val="20"/>
                <w:szCs w:val="20"/>
                <w:lang w:val="en-GB"/>
              </w:rPr>
            </w:pP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shd w:val="clear" w:color="auto" w:fill="auto"/>
          </w:tcPr>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r>
              <w:rPr>
                <w:b/>
                <w:bCs/>
                <w:lang w:val="en-GB"/>
              </w:rPr>
              <w:t>S.6.3</w:t>
            </w:r>
          </w:p>
        </w:tc>
        <w:tc>
          <w:tcPr>
            <w:tcW w:w="4230" w:type="dxa"/>
            <w:shd w:val="clear" w:color="auto" w:fill="auto"/>
          </w:tcPr>
          <w:p w:rsidR="00AB5E0A" w:rsidRDefault="00AB5E0A" w:rsidP="009C14A3">
            <w:pPr>
              <w:rPr>
                <w:sz w:val="20"/>
                <w:szCs w:val="20"/>
                <w:lang w:val="en-GB"/>
              </w:rPr>
            </w:pPr>
            <w:r>
              <w:rPr>
                <w:sz w:val="20"/>
                <w:szCs w:val="20"/>
                <w:lang w:val="en-GB"/>
              </w:rPr>
              <w:t xml:space="preserve">19.  Stakeholder evaluation of the digital library. (Average overall rating of the adequacy of the digital library, including: </w:t>
            </w:r>
          </w:p>
          <w:p w:rsidR="00AB5E0A" w:rsidRDefault="00AB5E0A" w:rsidP="00AB5E0A">
            <w:pPr>
              <w:pStyle w:val="ListParagraph"/>
              <w:numPr>
                <w:ilvl w:val="0"/>
                <w:numId w:val="11"/>
              </w:numPr>
              <w:rPr>
                <w:sz w:val="20"/>
                <w:szCs w:val="20"/>
                <w:lang w:val="en-GB"/>
              </w:rPr>
            </w:pPr>
            <w:r>
              <w:rPr>
                <w:sz w:val="20"/>
                <w:szCs w:val="20"/>
                <w:lang w:val="en-GB"/>
              </w:rPr>
              <w:t>User friendly website</w:t>
            </w:r>
          </w:p>
          <w:p w:rsidR="00AB5E0A" w:rsidRDefault="00AB5E0A" w:rsidP="00AB5E0A">
            <w:pPr>
              <w:pStyle w:val="ListParagraph"/>
              <w:numPr>
                <w:ilvl w:val="0"/>
                <w:numId w:val="11"/>
              </w:numPr>
              <w:rPr>
                <w:sz w:val="20"/>
                <w:szCs w:val="20"/>
                <w:lang w:val="en-GB"/>
              </w:rPr>
            </w:pPr>
            <w:r w:rsidRPr="00694A63">
              <w:rPr>
                <w:sz w:val="20"/>
                <w:szCs w:val="20"/>
                <w:lang w:val="en-GB"/>
              </w:rPr>
              <w:t>Availability</w:t>
            </w:r>
            <w:r>
              <w:rPr>
                <w:sz w:val="20"/>
                <w:szCs w:val="20"/>
                <w:lang w:val="en-GB"/>
              </w:rPr>
              <w:t xml:space="preserve"> of the digital databases,</w:t>
            </w:r>
          </w:p>
          <w:p w:rsidR="00AB5E0A" w:rsidRPr="004A08A2" w:rsidRDefault="00AB5E0A" w:rsidP="00AB5E0A">
            <w:pPr>
              <w:pStyle w:val="ListParagraph"/>
              <w:numPr>
                <w:ilvl w:val="0"/>
                <w:numId w:val="11"/>
              </w:numPr>
              <w:rPr>
                <w:sz w:val="20"/>
                <w:szCs w:val="20"/>
                <w:lang w:val="en-GB"/>
              </w:rPr>
            </w:pPr>
            <w:r>
              <w:rPr>
                <w:sz w:val="20"/>
                <w:szCs w:val="20"/>
                <w:lang w:val="en-GB"/>
              </w:rPr>
              <w:t xml:space="preserve">Accessibility </w:t>
            </w:r>
            <w:r w:rsidRPr="00694A63">
              <w:rPr>
                <w:sz w:val="20"/>
                <w:szCs w:val="20"/>
                <w:lang w:val="en-GB"/>
              </w:rPr>
              <w:t xml:space="preserve">for users, </w:t>
            </w:r>
            <w:r w:rsidRPr="004A08A2">
              <w:rPr>
                <w:sz w:val="20"/>
                <w:szCs w:val="20"/>
                <w:lang w:val="en-GB"/>
              </w:rPr>
              <w:t xml:space="preserve"> </w:t>
            </w:r>
          </w:p>
          <w:p w:rsidR="00AB5E0A" w:rsidRPr="00CA622C" w:rsidRDefault="00AB5E0A" w:rsidP="00AB5E0A">
            <w:pPr>
              <w:pStyle w:val="ListParagraph"/>
              <w:numPr>
                <w:ilvl w:val="0"/>
                <w:numId w:val="11"/>
              </w:numPr>
              <w:rPr>
                <w:sz w:val="20"/>
                <w:szCs w:val="20"/>
                <w:lang w:val="en-GB"/>
              </w:rPr>
            </w:pPr>
            <w:r>
              <w:rPr>
                <w:sz w:val="20"/>
                <w:szCs w:val="20"/>
                <w:lang w:val="en-GB"/>
              </w:rPr>
              <w:t>Library skill training</w:t>
            </w:r>
            <w:r w:rsidRPr="00CA622C">
              <w:rPr>
                <w:sz w:val="20"/>
                <w:szCs w:val="20"/>
                <w:lang w:val="en-GB"/>
              </w:rPr>
              <w:t xml:space="preserve"> and </w:t>
            </w:r>
          </w:p>
          <w:p w:rsidR="00AB5E0A" w:rsidRPr="00694A63" w:rsidRDefault="00AB5E0A" w:rsidP="00AB5E0A">
            <w:pPr>
              <w:pStyle w:val="ListParagraph"/>
              <w:numPr>
                <w:ilvl w:val="0"/>
                <w:numId w:val="11"/>
              </w:numPr>
              <w:rPr>
                <w:sz w:val="20"/>
                <w:szCs w:val="20"/>
                <w:lang w:val="en-GB"/>
              </w:rPr>
            </w:pPr>
            <w:r>
              <w:rPr>
                <w:sz w:val="20"/>
                <w:szCs w:val="20"/>
                <w:lang w:val="en-GB"/>
              </w:rPr>
              <w:t>A</w:t>
            </w:r>
            <w:r w:rsidRPr="00694A63">
              <w:rPr>
                <w:sz w:val="20"/>
                <w:szCs w:val="20"/>
                <w:lang w:val="en-GB"/>
              </w:rPr>
              <w:t xml:space="preserve">ny other quality indicators of service on a five- point scale of an annual survey.)   </w:t>
            </w:r>
          </w:p>
        </w:tc>
        <w:tc>
          <w:tcPr>
            <w:tcW w:w="2250" w:type="dxa"/>
            <w:shd w:val="clear" w:color="auto" w:fill="auto"/>
          </w:tcPr>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r>
              <w:rPr>
                <w:sz w:val="20"/>
                <w:szCs w:val="20"/>
                <w:lang w:val="en-GB"/>
              </w:rPr>
              <w:t>Institution</w:t>
            </w:r>
          </w:p>
          <w:p w:rsidR="00AB5E0A" w:rsidRDefault="00AB5E0A" w:rsidP="009C14A3">
            <w:pPr>
              <w:rPr>
                <w:sz w:val="20"/>
                <w:szCs w:val="20"/>
                <w:lang w:val="en-GB"/>
              </w:rPr>
            </w:pPr>
            <w:r>
              <w:rPr>
                <w:sz w:val="20"/>
                <w:szCs w:val="20"/>
                <w:lang w:val="en-GB"/>
              </w:rPr>
              <w:t>College</w:t>
            </w:r>
          </w:p>
          <w:p w:rsidR="00AB5E0A" w:rsidRDefault="00AB5E0A" w:rsidP="009C14A3">
            <w:pPr>
              <w:rPr>
                <w:sz w:val="20"/>
                <w:szCs w:val="20"/>
                <w:lang w:val="en-GB"/>
              </w:rPr>
            </w:pPr>
            <w:r>
              <w:rPr>
                <w:sz w:val="20"/>
                <w:szCs w:val="20"/>
                <w:lang w:val="en-GB"/>
              </w:rPr>
              <w:t>Program</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7</w:t>
            </w:r>
          </w:p>
          <w:p w:rsidR="00AB5E0A" w:rsidRPr="00212308" w:rsidRDefault="00AB5E0A" w:rsidP="009C14A3">
            <w:pPr>
              <w:jc w:val="center"/>
              <w:rPr>
                <w:b/>
                <w:bCs/>
                <w:sz w:val="20"/>
                <w:szCs w:val="20"/>
                <w:lang w:val="en-GB"/>
              </w:rPr>
            </w:pPr>
            <w:r w:rsidRPr="00212308">
              <w:rPr>
                <w:b/>
                <w:bCs/>
                <w:sz w:val="20"/>
                <w:szCs w:val="20"/>
                <w:lang w:val="en-GB"/>
              </w:rPr>
              <w:t>Facilities and Equipment</w:t>
            </w:r>
          </w:p>
        </w:tc>
        <w:tc>
          <w:tcPr>
            <w:tcW w:w="1021" w:type="dxa"/>
          </w:tcPr>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S7.1</w:t>
            </w:r>
          </w:p>
        </w:tc>
        <w:tc>
          <w:tcPr>
            <w:tcW w:w="4230" w:type="dxa"/>
            <w:shd w:val="clear" w:color="auto" w:fill="auto"/>
          </w:tcPr>
          <w:p w:rsidR="00AB5E0A" w:rsidRDefault="00AB5E0A" w:rsidP="009C14A3">
            <w:pPr>
              <w:rPr>
                <w:sz w:val="20"/>
                <w:szCs w:val="20"/>
                <w:lang w:val="en-GB"/>
              </w:rPr>
            </w:pPr>
            <w:r>
              <w:rPr>
                <w:sz w:val="20"/>
                <w:szCs w:val="20"/>
                <w:lang w:val="en-GB"/>
              </w:rPr>
              <w:t>20</w:t>
            </w:r>
            <w:r w:rsidRPr="00212308">
              <w:rPr>
                <w:sz w:val="20"/>
                <w:szCs w:val="20"/>
                <w:lang w:val="en-GB"/>
              </w:rPr>
              <w:t>.  Annual expenditure on IT</w:t>
            </w:r>
            <w:r>
              <w:rPr>
                <w:sz w:val="20"/>
                <w:szCs w:val="20"/>
                <w:lang w:val="en-GB"/>
              </w:rPr>
              <w:t xml:space="preserve"> budget,  including:</w:t>
            </w:r>
          </w:p>
          <w:p w:rsidR="00AB5E0A" w:rsidRDefault="00AB5E0A" w:rsidP="00AB5E0A">
            <w:pPr>
              <w:pStyle w:val="ListParagraph"/>
              <w:numPr>
                <w:ilvl w:val="0"/>
                <w:numId w:val="14"/>
              </w:numPr>
              <w:rPr>
                <w:sz w:val="20"/>
                <w:szCs w:val="20"/>
                <w:lang w:val="en-GB"/>
              </w:rPr>
            </w:pPr>
            <w:r>
              <w:rPr>
                <w:sz w:val="20"/>
                <w:szCs w:val="20"/>
                <w:lang w:val="en-GB"/>
              </w:rPr>
              <w:t>P</w:t>
            </w:r>
            <w:r w:rsidRPr="000873D0">
              <w:rPr>
                <w:sz w:val="20"/>
                <w:szCs w:val="20"/>
                <w:lang w:val="en-GB"/>
              </w:rPr>
              <w:t>ercentage of the t</w:t>
            </w:r>
            <w:r>
              <w:rPr>
                <w:sz w:val="20"/>
                <w:szCs w:val="20"/>
                <w:lang w:val="en-GB"/>
              </w:rPr>
              <w:t>otal Institution, or College, or Program  budget allocated for IT;</w:t>
            </w:r>
          </w:p>
          <w:p w:rsidR="00AB5E0A" w:rsidRDefault="00AB5E0A" w:rsidP="00AB5E0A">
            <w:pPr>
              <w:pStyle w:val="ListParagraph"/>
              <w:numPr>
                <w:ilvl w:val="0"/>
                <w:numId w:val="14"/>
              </w:numPr>
              <w:rPr>
                <w:sz w:val="20"/>
                <w:szCs w:val="20"/>
                <w:lang w:val="en-GB"/>
              </w:rPr>
            </w:pPr>
            <w:r>
              <w:rPr>
                <w:sz w:val="20"/>
                <w:szCs w:val="20"/>
                <w:lang w:val="en-GB"/>
              </w:rPr>
              <w:t>Percentage of IT budget allocated per program for institutional or per student for programmatic;</w:t>
            </w:r>
          </w:p>
          <w:p w:rsidR="00AB5E0A" w:rsidRDefault="00AB5E0A" w:rsidP="00AB5E0A">
            <w:pPr>
              <w:pStyle w:val="ListParagraph"/>
              <w:numPr>
                <w:ilvl w:val="0"/>
                <w:numId w:val="14"/>
              </w:numPr>
              <w:rPr>
                <w:sz w:val="20"/>
                <w:szCs w:val="20"/>
                <w:lang w:val="en-GB"/>
              </w:rPr>
            </w:pPr>
            <w:r>
              <w:rPr>
                <w:sz w:val="20"/>
                <w:szCs w:val="20"/>
                <w:lang w:val="en-GB"/>
              </w:rPr>
              <w:t>P</w:t>
            </w:r>
            <w:r w:rsidRPr="000873D0">
              <w:rPr>
                <w:sz w:val="20"/>
                <w:szCs w:val="20"/>
                <w:lang w:val="en-GB"/>
              </w:rPr>
              <w:t>ercentage of IT budget allo</w:t>
            </w:r>
            <w:r>
              <w:rPr>
                <w:sz w:val="20"/>
                <w:szCs w:val="20"/>
                <w:lang w:val="en-GB"/>
              </w:rPr>
              <w:t xml:space="preserve">cated for software licences; </w:t>
            </w:r>
          </w:p>
          <w:p w:rsidR="00AB5E0A" w:rsidRDefault="00AB5E0A" w:rsidP="00AB5E0A">
            <w:pPr>
              <w:pStyle w:val="ListParagraph"/>
              <w:numPr>
                <w:ilvl w:val="0"/>
                <w:numId w:val="14"/>
              </w:numPr>
              <w:rPr>
                <w:sz w:val="20"/>
                <w:szCs w:val="20"/>
                <w:lang w:val="en-GB"/>
              </w:rPr>
            </w:pPr>
            <w:r>
              <w:rPr>
                <w:sz w:val="20"/>
                <w:szCs w:val="20"/>
                <w:lang w:val="en-GB"/>
              </w:rPr>
              <w:t>P</w:t>
            </w:r>
            <w:r w:rsidRPr="000873D0">
              <w:rPr>
                <w:sz w:val="20"/>
                <w:szCs w:val="20"/>
                <w:lang w:val="en-GB"/>
              </w:rPr>
              <w:t>ercentage of IT bu</w:t>
            </w:r>
            <w:r>
              <w:rPr>
                <w:sz w:val="20"/>
                <w:szCs w:val="20"/>
                <w:lang w:val="en-GB"/>
              </w:rPr>
              <w:t>dget allocated for IT security;</w:t>
            </w:r>
          </w:p>
          <w:p w:rsidR="00AB5E0A" w:rsidRDefault="00AB5E0A" w:rsidP="00AB5E0A">
            <w:pPr>
              <w:pStyle w:val="ListParagraph"/>
              <w:numPr>
                <w:ilvl w:val="0"/>
                <w:numId w:val="14"/>
              </w:numPr>
              <w:rPr>
                <w:sz w:val="20"/>
                <w:szCs w:val="20"/>
                <w:lang w:val="en-GB"/>
              </w:rPr>
            </w:pPr>
            <w:r>
              <w:rPr>
                <w:sz w:val="20"/>
                <w:szCs w:val="20"/>
                <w:lang w:val="en-GB"/>
              </w:rPr>
              <w:t>P</w:t>
            </w:r>
            <w:r w:rsidRPr="000873D0">
              <w:rPr>
                <w:sz w:val="20"/>
                <w:szCs w:val="20"/>
                <w:lang w:val="en-GB"/>
              </w:rPr>
              <w:t xml:space="preserve">ercentage of IT budge allocated for </w:t>
            </w:r>
            <w:r>
              <w:rPr>
                <w:sz w:val="20"/>
                <w:szCs w:val="20"/>
                <w:lang w:val="en-GB"/>
              </w:rPr>
              <w:t xml:space="preserve">IT </w:t>
            </w:r>
            <w:r w:rsidRPr="000873D0">
              <w:rPr>
                <w:sz w:val="20"/>
                <w:szCs w:val="20"/>
                <w:lang w:val="en-GB"/>
              </w:rPr>
              <w:t>maintenance.</w:t>
            </w:r>
          </w:p>
          <w:p w:rsidR="00AB5E0A" w:rsidRPr="00212308" w:rsidRDefault="00AB5E0A" w:rsidP="009C14A3">
            <w:pPr>
              <w:rPr>
                <w:sz w:val="20"/>
                <w:szCs w:val="20"/>
                <w:lang w:val="en-GB"/>
              </w:rPr>
            </w:pPr>
          </w:p>
        </w:tc>
        <w:tc>
          <w:tcPr>
            <w:tcW w:w="2250" w:type="dxa"/>
            <w:shd w:val="clear" w:color="auto" w:fill="auto"/>
          </w:tcPr>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r w:rsidRPr="00212308">
              <w:rPr>
                <w:sz w:val="20"/>
                <w:szCs w:val="20"/>
                <w:lang w:val="en-GB"/>
              </w:rPr>
              <w:t>Institution</w:t>
            </w:r>
          </w:p>
          <w:p w:rsidR="00AB5E0A" w:rsidRDefault="00AB5E0A" w:rsidP="009C14A3">
            <w:pPr>
              <w:rPr>
                <w:sz w:val="20"/>
                <w:szCs w:val="20"/>
                <w:lang w:val="en-GB"/>
              </w:rPr>
            </w:pPr>
            <w:r>
              <w:rPr>
                <w:sz w:val="20"/>
                <w:szCs w:val="20"/>
                <w:lang w:val="en-GB"/>
              </w:rPr>
              <w:t>College</w:t>
            </w:r>
          </w:p>
          <w:p w:rsidR="00AB5E0A" w:rsidRPr="00212308" w:rsidRDefault="00AB5E0A" w:rsidP="009C14A3">
            <w:pPr>
              <w:rPr>
                <w:sz w:val="20"/>
                <w:szCs w:val="20"/>
                <w:lang w:val="en-GB"/>
              </w:rPr>
            </w:pPr>
            <w:r>
              <w:rPr>
                <w:sz w:val="20"/>
                <w:szCs w:val="20"/>
                <w:lang w:val="en-GB"/>
              </w:rPr>
              <w:t xml:space="preserve">Program </w:t>
            </w:r>
          </w:p>
        </w:tc>
      </w:tr>
      <w:tr w:rsidR="00AB5E0A" w:rsidRPr="00212308" w:rsidTr="009C14A3">
        <w:trPr>
          <w:trHeight w:val="2684"/>
        </w:trPr>
        <w:tc>
          <w:tcPr>
            <w:tcW w:w="1787" w:type="dxa"/>
            <w:vMerge/>
          </w:tcPr>
          <w:p w:rsidR="00AB5E0A" w:rsidRPr="00212308" w:rsidRDefault="00AB5E0A" w:rsidP="009C14A3">
            <w:pPr>
              <w:jc w:val="center"/>
              <w:rPr>
                <w:b/>
                <w:bCs/>
                <w:sz w:val="20"/>
                <w:szCs w:val="20"/>
                <w:lang w:val="en-GB"/>
              </w:rPr>
            </w:pPr>
          </w:p>
        </w:tc>
        <w:tc>
          <w:tcPr>
            <w:tcW w:w="1021" w:type="dxa"/>
            <w:shd w:val="clear" w:color="auto" w:fill="auto"/>
          </w:tcPr>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w:t>
            </w:r>
            <w:r>
              <w:rPr>
                <w:b/>
                <w:bCs/>
                <w:lang w:val="en-GB"/>
              </w:rPr>
              <w:t>7.2</w:t>
            </w:r>
          </w:p>
        </w:tc>
        <w:tc>
          <w:tcPr>
            <w:tcW w:w="4230" w:type="dxa"/>
            <w:shd w:val="clear" w:color="auto" w:fill="auto"/>
          </w:tcPr>
          <w:p w:rsidR="00AB5E0A" w:rsidRDefault="00AB5E0A" w:rsidP="009C14A3">
            <w:pPr>
              <w:rPr>
                <w:sz w:val="20"/>
                <w:szCs w:val="20"/>
                <w:lang w:val="en-GB"/>
              </w:rPr>
            </w:pPr>
            <w:r>
              <w:rPr>
                <w:sz w:val="20"/>
                <w:szCs w:val="20"/>
                <w:lang w:val="en-GB"/>
              </w:rPr>
              <w:t>21. Stakeholder evaluation of the IT services. (Average overall rating of the adequacy of:</w:t>
            </w:r>
          </w:p>
          <w:p w:rsidR="00AB5E0A" w:rsidRDefault="00AB5E0A" w:rsidP="00AB5E0A">
            <w:pPr>
              <w:pStyle w:val="ListParagraph"/>
              <w:numPr>
                <w:ilvl w:val="0"/>
                <w:numId w:val="12"/>
              </w:numPr>
              <w:rPr>
                <w:sz w:val="20"/>
                <w:szCs w:val="20"/>
                <w:lang w:val="en-GB"/>
              </w:rPr>
            </w:pPr>
            <w:r w:rsidRPr="00D673F0">
              <w:rPr>
                <w:sz w:val="20"/>
                <w:szCs w:val="20"/>
                <w:lang w:val="en-GB"/>
              </w:rPr>
              <w:t>IT availability,</w:t>
            </w:r>
          </w:p>
          <w:p w:rsidR="00AB5E0A" w:rsidRDefault="00AB5E0A" w:rsidP="00AB5E0A">
            <w:pPr>
              <w:pStyle w:val="ListParagraph"/>
              <w:numPr>
                <w:ilvl w:val="0"/>
                <w:numId w:val="12"/>
              </w:numPr>
              <w:rPr>
                <w:sz w:val="20"/>
                <w:szCs w:val="20"/>
                <w:lang w:val="en-GB"/>
              </w:rPr>
            </w:pPr>
            <w:r>
              <w:rPr>
                <w:sz w:val="20"/>
                <w:szCs w:val="20"/>
                <w:lang w:val="en-GB"/>
              </w:rPr>
              <w:t xml:space="preserve"> S</w:t>
            </w:r>
            <w:r w:rsidRPr="00D673F0">
              <w:rPr>
                <w:sz w:val="20"/>
                <w:szCs w:val="20"/>
                <w:lang w:val="en-GB"/>
              </w:rPr>
              <w:t xml:space="preserve">ecurity, </w:t>
            </w:r>
          </w:p>
          <w:p w:rsidR="00AB5E0A" w:rsidRDefault="00AB5E0A" w:rsidP="00AB5E0A">
            <w:pPr>
              <w:pStyle w:val="ListParagraph"/>
              <w:numPr>
                <w:ilvl w:val="0"/>
                <w:numId w:val="12"/>
              </w:numPr>
              <w:rPr>
                <w:sz w:val="20"/>
                <w:szCs w:val="20"/>
                <w:lang w:val="en-GB"/>
              </w:rPr>
            </w:pPr>
            <w:r>
              <w:rPr>
                <w:sz w:val="20"/>
                <w:szCs w:val="20"/>
                <w:lang w:val="en-GB"/>
              </w:rPr>
              <w:t>M</w:t>
            </w:r>
            <w:r w:rsidRPr="00D673F0">
              <w:rPr>
                <w:sz w:val="20"/>
                <w:szCs w:val="20"/>
                <w:lang w:val="en-GB"/>
              </w:rPr>
              <w:t xml:space="preserve">aintenance, </w:t>
            </w:r>
          </w:p>
          <w:p w:rsidR="00AB5E0A" w:rsidRDefault="00AB5E0A" w:rsidP="00AB5E0A">
            <w:pPr>
              <w:pStyle w:val="ListParagraph"/>
              <w:numPr>
                <w:ilvl w:val="0"/>
                <w:numId w:val="12"/>
              </w:numPr>
              <w:rPr>
                <w:sz w:val="20"/>
                <w:szCs w:val="20"/>
                <w:lang w:val="en-GB"/>
              </w:rPr>
            </w:pPr>
            <w:r>
              <w:rPr>
                <w:sz w:val="20"/>
                <w:szCs w:val="20"/>
                <w:lang w:val="en-GB"/>
              </w:rPr>
              <w:t>Accessibility</w:t>
            </w:r>
            <w:r w:rsidRPr="00D673F0">
              <w:rPr>
                <w:sz w:val="20"/>
                <w:szCs w:val="20"/>
                <w:lang w:val="en-GB"/>
              </w:rPr>
              <w:t xml:space="preserve"> </w:t>
            </w:r>
          </w:p>
          <w:p w:rsidR="00AB5E0A" w:rsidRDefault="00AB5E0A" w:rsidP="00AB5E0A">
            <w:pPr>
              <w:pStyle w:val="ListParagraph"/>
              <w:numPr>
                <w:ilvl w:val="0"/>
                <w:numId w:val="12"/>
              </w:numPr>
              <w:rPr>
                <w:sz w:val="20"/>
                <w:szCs w:val="20"/>
                <w:lang w:val="en-GB"/>
              </w:rPr>
            </w:pPr>
            <w:r>
              <w:rPr>
                <w:sz w:val="20"/>
                <w:szCs w:val="20"/>
                <w:lang w:val="en-GB"/>
              </w:rPr>
              <w:t>S</w:t>
            </w:r>
            <w:r w:rsidRPr="00D673F0">
              <w:rPr>
                <w:sz w:val="20"/>
                <w:szCs w:val="20"/>
                <w:lang w:val="en-GB"/>
              </w:rPr>
              <w:t xml:space="preserve">upport systems, </w:t>
            </w:r>
          </w:p>
          <w:p w:rsidR="00AB5E0A" w:rsidRPr="0051302F" w:rsidRDefault="00AB5E0A" w:rsidP="00AB5E0A">
            <w:pPr>
              <w:pStyle w:val="ListParagraph"/>
              <w:numPr>
                <w:ilvl w:val="0"/>
                <w:numId w:val="12"/>
              </w:numPr>
              <w:rPr>
                <w:sz w:val="20"/>
                <w:szCs w:val="20"/>
                <w:lang w:val="en-GB"/>
              </w:rPr>
            </w:pPr>
            <w:r>
              <w:rPr>
                <w:sz w:val="20"/>
                <w:szCs w:val="20"/>
                <w:lang w:val="en-GB"/>
              </w:rPr>
              <w:t>Software and u</w:t>
            </w:r>
            <w:r w:rsidRPr="00D673F0">
              <w:rPr>
                <w:sz w:val="20"/>
                <w:szCs w:val="20"/>
                <w:lang w:val="en-GB"/>
              </w:rPr>
              <w:t>p-dates,</w:t>
            </w:r>
          </w:p>
          <w:p w:rsidR="00AB5E0A" w:rsidRDefault="00AB5E0A" w:rsidP="00AB5E0A">
            <w:pPr>
              <w:pStyle w:val="ListParagraph"/>
              <w:numPr>
                <w:ilvl w:val="0"/>
                <w:numId w:val="12"/>
              </w:numPr>
              <w:rPr>
                <w:sz w:val="20"/>
                <w:szCs w:val="20"/>
                <w:lang w:val="en-GB"/>
              </w:rPr>
            </w:pPr>
            <w:r>
              <w:rPr>
                <w:sz w:val="20"/>
                <w:szCs w:val="20"/>
                <w:lang w:val="en-GB"/>
              </w:rPr>
              <w:t>A</w:t>
            </w:r>
            <w:r w:rsidRPr="00D673F0">
              <w:rPr>
                <w:sz w:val="20"/>
                <w:szCs w:val="20"/>
                <w:lang w:val="en-GB"/>
              </w:rPr>
              <w:t xml:space="preserve">ge of </w:t>
            </w:r>
            <w:r>
              <w:rPr>
                <w:sz w:val="20"/>
                <w:szCs w:val="20"/>
                <w:lang w:val="en-GB"/>
              </w:rPr>
              <w:t xml:space="preserve"> </w:t>
            </w:r>
            <w:r w:rsidRPr="00D673F0">
              <w:rPr>
                <w:sz w:val="20"/>
                <w:szCs w:val="20"/>
                <w:lang w:val="en-GB"/>
              </w:rPr>
              <w:t xml:space="preserve">hardware, and </w:t>
            </w:r>
          </w:p>
          <w:p w:rsidR="00AB5E0A" w:rsidRPr="00212308" w:rsidRDefault="00AB5E0A" w:rsidP="00AB5E0A">
            <w:pPr>
              <w:pStyle w:val="ListParagraph"/>
              <w:numPr>
                <w:ilvl w:val="0"/>
                <w:numId w:val="12"/>
              </w:numPr>
              <w:rPr>
                <w:sz w:val="20"/>
                <w:szCs w:val="20"/>
                <w:lang w:val="en-GB"/>
              </w:rPr>
            </w:pPr>
            <w:r w:rsidRPr="00D673F0">
              <w:rPr>
                <w:sz w:val="20"/>
                <w:szCs w:val="20"/>
                <w:lang w:val="en-GB"/>
              </w:rPr>
              <w:t>Other viable indicators of service on a five- point scale of an annual survey.)</w:t>
            </w:r>
          </w:p>
        </w:tc>
        <w:tc>
          <w:tcPr>
            <w:tcW w:w="2250" w:type="dxa"/>
            <w:shd w:val="clear" w:color="auto" w:fill="auto"/>
          </w:tcPr>
          <w:p w:rsidR="00AB5E0A" w:rsidRDefault="00AB5E0A" w:rsidP="009C14A3">
            <w:pPr>
              <w:rPr>
                <w:sz w:val="20"/>
                <w:szCs w:val="20"/>
                <w:lang w:val="en-GB"/>
              </w:rPr>
            </w:pPr>
          </w:p>
          <w:p w:rsidR="00AB5E0A"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rPr>
          <w:trHeight w:val="3505"/>
        </w:trPr>
        <w:tc>
          <w:tcPr>
            <w:tcW w:w="1787" w:type="dxa"/>
            <w:vMerge/>
          </w:tcPr>
          <w:p w:rsidR="00AB5E0A" w:rsidRPr="00212308" w:rsidRDefault="00AB5E0A" w:rsidP="009C14A3">
            <w:pPr>
              <w:jc w:val="center"/>
              <w:rPr>
                <w:b/>
                <w:bCs/>
                <w:sz w:val="20"/>
                <w:szCs w:val="20"/>
                <w:lang w:val="en-GB"/>
              </w:rPr>
            </w:pPr>
          </w:p>
        </w:tc>
        <w:tc>
          <w:tcPr>
            <w:tcW w:w="1021" w:type="dxa"/>
          </w:tcPr>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r>
              <w:rPr>
                <w:b/>
                <w:bCs/>
                <w:lang w:val="en-GB"/>
              </w:rPr>
              <w:t>S7.3</w:t>
            </w:r>
          </w:p>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p>
        </w:tc>
        <w:tc>
          <w:tcPr>
            <w:tcW w:w="4230" w:type="dxa"/>
            <w:shd w:val="clear" w:color="auto" w:fill="auto"/>
          </w:tcPr>
          <w:p w:rsidR="00AB5E0A" w:rsidRDefault="00AB5E0A" w:rsidP="009C14A3">
            <w:pPr>
              <w:rPr>
                <w:sz w:val="20"/>
                <w:szCs w:val="20"/>
                <w:lang w:val="en-GB"/>
              </w:rPr>
            </w:pPr>
            <w:r>
              <w:rPr>
                <w:sz w:val="20"/>
                <w:szCs w:val="20"/>
                <w:lang w:val="en-GB"/>
              </w:rPr>
              <w:t>22</w:t>
            </w:r>
            <w:r w:rsidRPr="00DB68B4">
              <w:rPr>
                <w:sz w:val="20"/>
                <w:szCs w:val="20"/>
                <w:lang w:val="en-GB"/>
              </w:rPr>
              <w:t>.  Stakeholder evaluation of</w:t>
            </w:r>
          </w:p>
          <w:p w:rsidR="00AB5E0A" w:rsidRDefault="00AB5E0A" w:rsidP="00AB5E0A">
            <w:pPr>
              <w:pStyle w:val="ListParagraph"/>
              <w:numPr>
                <w:ilvl w:val="0"/>
                <w:numId w:val="13"/>
              </w:numPr>
              <w:rPr>
                <w:sz w:val="20"/>
                <w:szCs w:val="20"/>
                <w:lang w:val="en-GB"/>
              </w:rPr>
            </w:pPr>
            <w:r>
              <w:rPr>
                <w:sz w:val="20"/>
                <w:szCs w:val="20"/>
                <w:lang w:val="en-GB"/>
              </w:rPr>
              <w:t>W</w:t>
            </w:r>
            <w:r w:rsidRPr="0057407E">
              <w:rPr>
                <w:sz w:val="20"/>
                <w:szCs w:val="20"/>
                <w:lang w:val="en-GB"/>
              </w:rPr>
              <w:t xml:space="preserve">ebsites, </w:t>
            </w:r>
          </w:p>
          <w:p w:rsidR="00AB5E0A" w:rsidRDefault="00AB5E0A" w:rsidP="00AB5E0A">
            <w:pPr>
              <w:pStyle w:val="ListParagraph"/>
              <w:numPr>
                <w:ilvl w:val="0"/>
                <w:numId w:val="13"/>
              </w:numPr>
              <w:rPr>
                <w:sz w:val="20"/>
                <w:szCs w:val="20"/>
                <w:lang w:val="en-GB"/>
              </w:rPr>
            </w:pPr>
            <w:r w:rsidRPr="00DB68B4">
              <w:rPr>
                <w:sz w:val="20"/>
                <w:szCs w:val="20"/>
                <w:lang w:val="en-GB"/>
              </w:rPr>
              <w:t>e-learning services</w:t>
            </w:r>
          </w:p>
          <w:p w:rsidR="00AB5E0A" w:rsidRDefault="00AB5E0A" w:rsidP="00AB5E0A">
            <w:pPr>
              <w:pStyle w:val="ListParagraph"/>
              <w:numPr>
                <w:ilvl w:val="0"/>
                <w:numId w:val="13"/>
              </w:numPr>
              <w:rPr>
                <w:sz w:val="20"/>
                <w:szCs w:val="20"/>
                <w:lang w:val="en-GB"/>
              </w:rPr>
            </w:pPr>
            <w:r>
              <w:rPr>
                <w:sz w:val="20"/>
                <w:szCs w:val="20"/>
                <w:lang w:val="en-GB"/>
              </w:rPr>
              <w:t>Hardware and software</w:t>
            </w:r>
          </w:p>
          <w:p w:rsidR="00AB5E0A" w:rsidRDefault="00AB5E0A" w:rsidP="00AB5E0A">
            <w:pPr>
              <w:pStyle w:val="ListParagraph"/>
              <w:numPr>
                <w:ilvl w:val="0"/>
                <w:numId w:val="13"/>
              </w:numPr>
              <w:rPr>
                <w:sz w:val="20"/>
                <w:szCs w:val="20"/>
                <w:lang w:val="en-GB"/>
              </w:rPr>
            </w:pPr>
            <w:r>
              <w:rPr>
                <w:sz w:val="20"/>
                <w:szCs w:val="20"/>
                <w:lang w:val="en-GB"/>
              </w:rPr>
              <w:t>Accessibility</w:t>
            </w:r>
          </w:p>
          <w:p w:rsidR="00AB5E0A" w:rsidRDefault="00AB5E0A" w:rsidP="00AB5E0A">
            <w:pPr>
              <w:pStyle w:val="ListParagraph"/>
              <w:numPr>
                <w:ilvl w:val="0"/>
                <w:numId w:val="13"/>
              </w:numPr>
              <w:rPr>
                <w:sz w:val="20"/>
                <w:szCs w:val="20"/>
                <w:lang w:val="en-GB"/>
              </w:rPr>
            </w:pPr>
            <w:r>
              <w:rPr>
                <w:sz w:val="20"/>
                <w:szCs w:val="20"/>
                <w:lang w:val="en-GB"/>
              </w:rPr>
              <w:t>Learning and Teaching</w:t>
            </w:r>
          </w:p>
          <w:p w:rsidR="00AB5E0A" w:rsidRDefault="00AB5E0A" w:rsidP="00AB5E0A">
            <w:pPr>
              <w:pStyle w:val="ListParagraph"/>
              <w:numPr>
                <w:ilvl w:val="0"/>
                <w:numId w:val="13"/>
              </w:numPr>
              <w:rPr>
                <w:sz w:val="20"/>
                <w:szCs w:val="20"/>
                <w:lang w:val="en-GB"/>
              </w:rPr>
            </w:pPr>
            <w:r>
              <w:rPr>
                <w:sz w:val="20"/>
                <w:szCs w:val="20"/>
                <w:lang w:val="en-GB"/>
              </w:rPr>
              <w:t>Assessment and service</w:t>
            </w:r>
          </w:p>
          <w:p w:rsidR="00AB5E0A" w:rsidRPr="0057407E" w:rsidRDefault="00AB5E0A" w:rsidP="00AB5E0A">
            <w:pPr>
              <w:pStyle w:val="ListParagraph"/>
              <w:numPr>
                <w:ilvl w:val="0"/>
                <w:numId w:val="13"/>
              </w:numPr>
              <w:rPr>
                <w:sz w:val="20"/>
                <w:szCs w:val="20"/>
                <w:lang w:val="en-GB"/>
              </w:rPr>
            </w:pPr>
            <w:r w:rsidRPr="000142E7">
              <w:rPr>
                <w:sz w:val="20"/>
                <w:szCs w:val="20"/>
                <w:lang w:val="en-GB"/>
              </w:rPr>
              <w:t xml:space="preserve">Web-based electronic data management system or electronic resources (for example:  institutional website </w:t>
            </w:r>
            <w:r w:rsidRPr="000142E7">
              <w:rPr>
                <w:color w:val="000000" w:themeColor="text1"/>
                <w:sz w:val="20"/>
                <w:szCs w:val="20"/>
                <w:lang w:val="en-GB"/>
              </w:rPr>
              <w:t>providing</w:t>
            </w:r>
            <w:r w:rsidRPr="000142E7">
              <w:rPr>
                <w:sz w:val="20"/>
                <w:szCs w:val="20"/>
                <w:lang w:val="en-GB"/>
              </w:rPr>
              <w:t xml:space="preserve"> resource sharing, networking &amp; relevant information, including e-learning</w:t>
            </w:r>
            <w:r>
              <w:rPr>
                <w:sz w:val="20"/>
                <w:szCs w:val="20"/>
                <w:lang w:val="en-GB"/>
              </w:rPr>
              <w:t>,</w:t>
            </w:r>
            <w:r w:rsidRPr="000142E7">
              <w:rPr>
                <w:sz w:val="20"/>
                <w:szCs w:val="20"/>
                <w:lang w:val="en-GB"/>
              </w:rPr>
              <w:t xml:space="preserve"> </w:t>
            </w:r>
            <w:r w:rsidRPr="000142E7">
              <w:rPr>
                <w:color w:val="000000" w:themeColor="text1"/>
                <w:sz w:val="20"/>
                <w:szCs w:val="20"/>
                <w:lang w:val="en-GB"/>
              </w:rPr>
              <w:t xml:space="preserve">interactive learning &amp; teaching between students &amp; faculty on a five- </w:t>
            </w:r>
            <w:r w:rsidRPr="000142E7">
              <w:rPr>
                <w:sz w:val="20"/>
                <w:szCs w:val="20"/>
                <w:lang w:val="en-GB"/>
              </w:rPr>
              <w:t>point scale of an annual survey).</w:t>
            </w:r>
          </w:p>
        </w:tc>
        <w:tc>
          <w:tcPr>
            <w:tcW w:w="2250" w:type="dxa"/>
            <w:shd w:val="clear" w:color="auto" w:fill="auto"/>
          </w:tcPr>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r w:rsidRPr="00212308">
              <w:rPr>
                <w:sz w:val="20"/>
                <w:szCs w:val="20"/>
                <w:lang w:val="en-GB"/>
              </w:rPr>
              <w:t>Institution</w:t>
            </w:r>
          </w:p>
          <w:p w:rsidR="00AB5E0A" w:rsidRDefault="00AB5E0A" w:rsidP="009C14A3">
            <w:pPr>
              <w:rPr>
                <w:sz w:val="20"/>
                <w:szCs w:val="20"/>
                <w:lang w:val="en-GB"/>
              </w:rPr>
            </w:pPr>
            <w:r>
              <w:rPr>
                <w:sz w:val="20"/>
                <w:szCs w:val="20"/>
                <w:lang w:val="en-GB"/>
              </w:rPr>
              <w:t>College</w:t>
            </w:r>
          </w:p>
          <w:p w:rsidR="00AB5E0A" w:rsidRPr="00212308" w:rsidRDefault="00AB5E0A" w:rsidP="009C14A3">
            <w:pPr>
              <w:rPr>
                <w:sz w:val="20"/>
                <w:szCs w:val="20"/>
                <w:lang w:val="en-GB"/>
              </w:rPr>
            </w:pPr>
            <w:r>
              <w:rPr>
                <w:sz w:val="20"/>
                <w:szCs w:val="20"/>
                <w:lang w:val="en-GB"/>
              </w:rPr>
              <w:t>Program</w:t>
            </w: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Pr="00212308" w:rsidRDefault="00AB5E0A" w:rsidP="009C14A3">
            <w:pPr>
              <w:rPr>
                <w:sz w:val="20"/>
                <w:szCs w:val="20"/>
                <w:lang w:val="en-GB"/>
              </w:rPr>
            </w:pPr>
          </w:p>
        </w:tc>
      </w:tr>
      <w:tr w:rsidR="00AB5E0A" w:rsidRPr="00212308" w:rsidTr="009C14A3">
        <w:trPr>
          <w:trHeight w:val="1019"/>
        </w:trPr>
        <w:tc>
          <w:tcPr>
            <w:tcW w:w="1787" w:type="dxa"/>
          </w:tcPr>
          <w:p w:rsidR="00AB5E0A" w:rsidRPr="00212308" w:rsidRDefault="00AB5E0A" w:rsidP="009C14A3">
            <w:pPr>
              <w:jc w:val="center"/>
              <w:rPr>
                <w:b/>
                <w:bCs/>
                <w:sz w:val="20"/>
                <w:szCs w:val="20"/>
                <w:lang w:val="en-GB"/>
              </w:rPr>
            </w:pPr>
            <w:r w:rsidRPr="00212308">
              <w:rPr>
                <w:b/>
                <w:bCs/>
                <w:sz w:val="20"/>
                <w:szCs w:val="20"/>
                <w:lang w:val="en-GB"/>
              </w:rPr>
              <w:t>Standard 8</w:t>
            </w:r>
          </w:p>
          <w:p w:rsidR="00AB5E0A" w:rsidRPr="00212308" w:rsidRDefault="00AB5E0A" w:rsidP="009C14A3">
            <w:pPr>
              <w:jc w:val="center"/>
              <w:rPr>
                <w:b/>
                <w:bCs/>
                <w:sz w:val="20"/>
                <w:szCs w:val="20"/>
                <w:lang w:val="en-GB"/>
              </w:rPr>
            </w:pPr>
            <w:r w:rsidRPr="00212308">
              <w:rPr>
                <w:b/>
                <w:bCs/>
                <w:sz w:val="20"/>
                <w:szCs w:val="20"/>
                <w:lang w:val="en-GB"/>
              </w:rPr>
              <w:t>Financial Planning and Management</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S8.1</w:t>
            </w:r>
          </w:p>
          <w:p w:rsidR="00AB5E0A" w:rsidRPr="00212308" w:rsidRDefault="00AB5E0A" w:rsidP="009C14A3">
            <w:pPr>
              <w:jc w:val="center"/>
              <w:rPr>
                <w:b/>
                <w:bCs/>
                <w:lang w:val="en-GB"/>
              </w:rPr>
            </w:pPr>
          </w:p>
        </w:tc>
        <w:tc>
          <w:tcPr>
            <w:tcW w:w="4230" w:type="dxa"/>
            <w:shd w:val="clear" w:color="auto" w:fill="auto"/>
          </w:tcPr>
          <w:p w:rsidR="00AB5E0A" w:rsidRDefault="00AB5E0A" w:rsidP="009C14A3">
            <w:pPr>
              <w:rPr>
                <w:sz w:val="20"/>
                <w:szCs w:val="20"/>
                <w:lang w:val="en-GB"/>
              </w:rPr>
            </w:pPr>
          </w:p>
          <w:p w:rsidR="00AB5E0A" w:rsidRPr="00212308" w:rsidRDefault="00AB5E0A" w:rsidP="009C14A3">
            <w:pPr>
              <w:rPr>
                <w:sz w:val="20"/>
                <w:szCs w:val="20"/>
                <w:lang w:val="en-GB"/>
              </w:rPr>
            </w:pPr>
            <w:r>
              <w:rPr>
                <w:sz w:val="20"/>
                <w:szCs w:val="20"/>
                <w:lang w:val="en-GB"/>
              </w:rPr>
              <w:t>23</w:t>
            </w:r>
            <w:r w:rsidRPr="00212308">
              <w:rPr>
                <w:sz w:val="20"/>
                <w:szCs w:val="20"/>
                <w:lang w:val="en-GB"/>
              </w:rPr>
              <w:t>. Total operating expenditure (other than accommodation and student allowances) per student.</w:t>
            </w:r>
          </w:p>
        </w:tc>
        <w:tc>
          <w:tcPr>
            <w:tcW w:w="2250" w:type="dxa"/>
            <w:shd w:val="clear" w:color="auto" w:fill="auto"/>
          </w:tcPr>
          <w:p w:rsidR="00AB5E0A" w:rsidRDefault="00AB5E0A" w:rsidP="009C14A3">
            <w:pPr>
              <w:rPr>
                <w:sz w:val="20"/>
                <w:szCs w:val="20"/>
                <w:lang w:val="en-GB"/>
              </w:rPr>
            </w:pPr>
          </w:p>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Institution</w:t>
            </w:r>
          </w:p>
          <w:p w:rsidR="00AB5E0A" w:rsidRPr="00212308" w:rsidRDefault="00AB5E0A" w:rsidP="009C14A3">
            <w:pPr>
              <w:rPr>
                <w:sz w:val="20"/>
                <w:szCs w:val="20"/>
                <w:lang w:val="en-GB"/>
              </w:rPr>
            </w:pP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9</w:t>
            </w:r>
          </w:p>
          <w:p w:rsidR="00AB5E0A" w:rsidRPr="00212308" w:rsidRDefault="00AB5E0A" w:rsidP="009C14A3">
            <w:pPr>
              <w:jc w:val="center"/>
              <w:rPr>
                <w:b/>
                <w:bCs/>
                <w:sz w:val="20"/>
                <w:szCs w:val="20"/>
                <w:lang w:val="en-GB"/>
              </w:rPr>
            </w:pPr>
            <w:r w:rsidRPr="00212308">
              <w:rPr>
                <w:b/>
                <w:bCs/>
                <w:sz w:val="20"/>
                <w:szCs w:val="20"/>
                <w:lang w:val="en-GB"/>
              </w:rPr>
              <w:t>Faculty and Staff Employment Processes</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S9.1</w:t>
            </w:r>
          </w:p>
        </w:tc>
        <w:tc>
          <w:tcPr>
            <w:tcW w:w="4230" w:type="dxa"/>
            <w:shd w:val="clear" w:color="auto" w:fill="auto"/>
          </w:tcPr>
          <w:p w:rsidR="00AB5E0A" w:rsidRPr="00956405" w:rsidRDefault="00AB5E0A" w:rsidP="009C14A3">
            <w:pPr>
              <w:rPr>
                <w:color w:val="000000" w:themeColor="text1"/>
                <w:sz w:val="20"/>
                <w:szCs w:val="20"/>
                <w:lang w:val="en-GB"/>
              </w:rPr>
            </w:pPr>
            <w:r>
              <w:rPr>
                <w:sz w:val="20"/>
                <w:szCs w:val="20"/>
                <w:lang w:val="en-GB"/>
              </w:rPr>
              <w:t>24</w:t>
            </w:r>
            <w:r w:rsidRPr="00212308">
              <w:rPr>
                <w:sz w:val="20"/>
                <w:szCs w:val="20"/>
                <w:lang w:val="en-GB"/>
              </w:rPr>
              <w:t>.  Proportion of teaching staff leaving the institution in the past year for reasons other than age retirement</w:t>
            </w:r>
            <w:r>
              <w:rPr>
                <w:color w:val="000000" w:themeColor="text1"/>
                <w:sz w:val="20"/>
                <w:szCs w:val="20"/>
                <w:lang w:val="en-GB"/>
              </w:rPr>
              <w:t>.</w:t>
            </w:r>
          </w:p>
          <w:p w:rsidR="00AB5E0A" w:rsidRPr="00212308" w:rsidRDefault="00AB5E0A" w:rsidP="009C14A3">
            <w:pPr>
              <w:rPr>
                <w:sz w:val="20"/>
                <w:szCs w:val="20"/>
                <w:lang w:val="en-GB"/>
              </w:rPr>
            </w:pP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rPr>
          <w:trHeight w:val="863"/>
        </w:trPr>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r w:rsidRPr="00212308">
              <w:rPr>
                <w:b/>
                <w:bCs/>
                <w:lang w:val="en-GB"/>
              </w:rPr>
              <w:t>S9.2</w:t>
            </w:r>
          </w:p>
        </w:tc>
        <w:tc>
          <w:tcPr>
            <w:tcW w:w="4230" w:type="dxa"/>
            <w:shd w:val="clear" w:color="auto" w:fill="auto"/>
          </w:tcPr>
          <w:p w:rsidR="00AB5E0A" w:rsidRPr="00212308" w:rsidRDefault="00AB5E0A" w:rsidP="009C14A3">
            <w:pPr>
              <w:rPr>
                <w:sz w:val="20"/>
                <w:szCs w:val="20"/>
                <w:lang w:val="en-GB"/>
              </w:rPr>
            </w:pPr>
            <w:r>
              <w:rPr>
                <w:sz w:val="20"/>
                <w:szCs w:val="20"/>
                <w:lang w:val="en-GB"/>
              </w:rPr>
              <w:t>25</w:t>
            </w:r>
            <w:r w:rsidRPr="00212308">
              <w:rPr>
                <w:sz w:val="20"/>
                <w:szCs w:val="20"/>
                <w:lang w:val="en-GB"/>
              </w:rPr>
              <w:t>.  Proportion of teaching staff participating in professional development activities during the past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10</w:t>
            </w:r>
          </w:p>
          <w:p w:rsidR="00AB5E0A" w:rsidRPr="00212308" w:rsidRDefault="00AB5E0A" w:rsidP="009C14A3">
            <w:pPr>
              <w:jc w:val="center"/>
              <w:rPr>
                <w:b/>
                <w:bCs/>
                <w:sz w:val="20"/>
                <w:szCs w:val="20"/>
                <w:lang w:val="en-GB"/>
              </w:rPr>
            </w:pPr>
            <w:r w:rsidRPr="00212308">
              <w:rPr>
                <w:b/>
                <w:bCs/>
                <w:sz w:val="20"/>
                <w:szCs w:val="20"/>
                <w:lang w:val="en-GB"/>
              </w:rPr>
              <w:t>Research</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S10.1</w:t>
            </w:r>
          </w:p>
        </w:tc>
        <w:tc>
          <w:tcPr>
            <w:tcW w:w="4230" w:type="dxa"/>
            <w:shd w:val="clear" w:color="auto" w:fill="auto"/>
          </w:tcPr>
          <w:p w:rsidR="00AB5E0A" w:rsidRPr="00212308" w:rsidRDefault="00AB5E0A" w:rsidP="009C14A3">
            <w:pPr>
              <w:rPr>
                <w:sz w:val="20"/>
                <w:szCs w:val="20"/>
                <w:lang w:val="en-GB"/>
              </w:rPr>
            </w:pPr>
            <w:r>
              <w:rPr>
                <w:sz w:val="20"/>
                <w:szCs w:val="20"/>
                <w:lang w:val="en-GB"/>
              </w:rPr>
              <w:t>26</w:t>
            </w:r>
            <w:r w:rsidRPr="00212308">
              <w:rPr>
                <w:sz w:val="20"/>
                <w:szCs w:val="20"/>
                <w:lang w:val="en-GB"/>
              </w:rPr>
              <w:t xml:space="preserve">.  Number of refereed publications in the previous year </w:t>
            </w:r>
            <w:r w:rsidRPr="00956405">
              <w:rPr>
                <w:color w:val="000000" w:themeColor="text1"/>
                <w:sz w:val="20"/>
                <w:szCs w:val="20"/>
                <w:lang w:val="en-GB"/>
              </w:rPr>
              <w:t>per full time equivalent teaching staff.</w:t>
            </w:r>
            <w:r w:rsidRPr="00212308">
              <w:rPr>
                <w:sz w:val="20"/>
                <w:szCs w:val="20"/>
                <w:lang w:val="en-GB"/>
              </w:rPr>
              <w:t xml:space="preserve">  (Publications based on the formula in the Higher Council Bylaw excluding conference presentations) </w:t>
            </w:r>
          </w:p>
        </w:tc>
        <w:tc>
          <w:tcPr>
            <w:tcW w:w="2250" w:type="dxa"/>
            <w:shd w:val="clear" w:color="auto" w:fill="auto"/>
          </w:tcPr>
          <w:p w:rsidR="00AB5E0A"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S10.2</w:t>
            </w:r>
          </w:p>
        </w:tc>
        <w:tc>
          <w:tcPr>
            <w:tcW w:w="4230" w:type="dxa"/>
            <w:shd w:val="clear" w:color="auto" w:fill="auto"/>
          </w:tcPr>
          <w:p w:rsidR="00AB5E0A" w:rsidRPr="00212308" w:rsidRDefault="00AB5E0A" w:rsidP="009C14A3">
            <w:pPr>
              <w:rPr>
                <w:sz w:val="20"/>
                <w:szCs w:val="20"/>
                <w:lang w:val="en-GB"/>
              </w:rPr>
            </w:pPr>
            <w:r>
              <w:rPr>
                <w:sz w:val="20"/>
                <w:szCs w:val="20"/>
                <w:lang w:val="en-GB"/>
              </w:rPr>
              <w:t>27</w:t>
            </w:r>
            <w:r w:rsidRPr="00212308">
              <w:rPr>
                <w:sz w:val="20"/>
                <w:szCs w:val="20"/>
                <w:lang w:val="en-GB"/>
              </w:rPr>
              <w:t>.  Number of citations in refereed journals in the previous year per fu</w:t>
            </w:r>
            <w:r>
              <w:rPr>
                <w:sz w:val="20"/>
                <w:szCs w:val="20"/>
                <w:lang w:val="en-GB"/>
              </w:rPr>
              <w:t>ll time equivalent faculty members</w:t>
            </w:r>
            <w:r w:rsidRPr="00212308">
              <w:rPr>
                <w:sz w:val="20"/>
                <w:szCs w:val="20"/>
                <w:lang w:val="en-GB"/>
              </w:rPr>
              <w:t>.</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S10.3</w:t>
            </w:r>
          </w:p>
        </w:tc>
        <w:tc>
          <w:tcPr>
            <w:tcW w:w="4230" w:type="dxa"/>
            <w:shd w:val="clear" w:color="auto" w:fill="auto"/>
          </w:tcPr>
          <w:p w:rsidR="00AB5E0A" w:rsidRPr="00212308" w:rsidRDefault="00AB5E0A" w:rsidP="009C14A3">
            <w:pPr>
              <w:rPr>
                <w:sz w:val="20"/>
                <w:szCs w:val="20"/>
                <w:lang w:val="en-GB"/>
              </w:rPr>
            </w:pPr>
            <w:r>
              <w:rPr>
                <w:sz w:val="20"/>
                <w:szCs w:val="20"/>
                <w:lang w:val="en-GB"/>
              </w:rPr>
              <w:t>28</w:t>
            </w:r>
            <w:r w:rsidRPr="00212308">
              <w:rPr>
                <w:sz w:val="20"/>
                <w:szCs w:val="20"/>
                <w:lang w:val="en-GB"/>
              </w:rPr>
              <w:t>.  Proportion of full time member of teaching staff with at least one refereed publication during the previous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S10.4</w:t>
            </w:r>
          </w:p>
        </w:tc>
        <w:tc>
          <w:tcPr>
            <w:tcW w:w="4230" w:type="dxa"/>
            <w:shd w:val="clear" w:color="auto" w:fill="auto"/>
          </w:tcPr>
          <w:p w:rsidR="00AB5E0A" w:rsidRPr="00212308" w:rsidRDefault="00AB5E0A" w:rsidP="009C14A3">
            <w:pPr>
              <w:rPr>
                <w:sz w:val="20"/>
                <w:szCs w:val="20"/>
                <w:lang w:val="en-GB"/>
              </w:rPr>
            </w:pPr>
            <w:r>
              <w:rPr>
                <w:sz w:val="20"/>
                <w:szCs w:val="20"/>
                <w:lang w:val="en-GB"/>
              </w:rPr>
              <w:t>29</w:t>
            </w:r>
            <w:r w:rsidRPr="00212308">
              <w:rPr>
                <w:sz w:val="20"/>
                <w:szCs w:val="20"/>
                <w:lang w:val="en-GB"/>
              </w:rPr>
              <w:t>.  Number of papers or reports presented at academic conferences during the past year per full time equi</w:t>
            </w:r>
            <w:r>
              <w:rPr>
                <w:sz w:val="20"/>
                <w:szCs w:val="20"/>
                <w:lang w:val="en-GB"/>
              </w:rPr>
              <w:t>valent faculty members</w:t>
            </w:r>
            <w:r w:rsidRPr="00212308">
              <w:rPr>
                <w:sz w:val="20"/>
                <w:szCs w:val="20"/>
                <w:lang w:val="en-GB"/>
              </w:rPr>
              <w:t>.</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S10.5</w:t>
            </w:r>
          </w:p>
        </w:tc>
        <w:tc>
          <w:tcPr>
            <w:tcW w:w="4230" w:type="dxa"/>
            <w:shd w:val="clear" w:color="auto" w:fill="auto"/>
          </w:tcPr>
          <w:p w:rsidR="00AB5E0A" w:rsidRPr="00212308" w:rsidRDefault="00AB5E0A" w:rsidP="009C14A3">
            <w:pPr>
              <w:rPr>
                <w:sz w:val="20"/>
                <w:szCs w:val="20"/>
                <w:lang w:val="en-GB"/>
              </w:rPr>
            </w:pPr>
            <w:r>
              <w:rPr>
                <w:sz w:val="20"/>
                <w:szCs w:val="20"/>
                <w:lang w:val="en-GB"/>
              </w:rPr>
              <w:t>30</w:t>
            </w:r>
            <w:r w:rsidRPr="00212308">
              <w:rPr>
                <w:sz w:val="20"/>
                <w:szCs w:val="20"/>
                <w:lang w:val="en-GB"/>
              </w:rPr>
              <w:t xml:space="preserve">.  Research income from external sources in the past year as a proportion of the number of full </w:t>
            </w:r>
            <w:r>
              <w:rPr>
                <w:sz w:val="20"/>
                <w:szCs w:val="20"/>
                <w:lang w:val="en-GB"/>
              </w:rPr>
              <w:t>time faculty</w:t>
            </w:r>
            <w:r w:rsidRPr="00212308">
              <w:rPr>
                <w:sz w:val="20"/>
                <w:szCs w:val="20"/>
                <w:lang w:val="en-GB"/>
              </w:rPr>
              <w:t xml:space="preserve"> members.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r w:rsidRPr="00212308">
              <w:rPr>
                <w:b/>
                <w:bCs/>
                <w:lang w:val="en-GB"/>
              </w:rPr>
              <w:t>S10.6</w:t>
            </w:r>
          </w:p>
        </w:tc>
        <w:tc>
          <w:tcPr>
            <w:tcW w:w="4230" w:type="dxa"/>
            <w:shd w:val="clear" w:color="auto" w:fill="auto"/>
          </w:tcPr>
          <w:p w:rsidR="00AB5E0A" w:rsidRPr="00212308" w:rsidRDefault="00AB5E0A" w:rsidP="009C14A3">
            <w:pPr>
              <w:rPr>
                <w:sz w:val="20"/>
                <w:szCs w:val="20"/>
                <w:lang w:val="en-GB"/>
              </w:rPr>
            </w:pPr>
            <w:r>
              <w:rPr>
                <w:sz w:val="20"/>
                <w:szCs w:val="20"/>
                <w:lang w:val="en-GB"/>
              </w:rPr>
              <w:t>31. Proportion of the total, annual operational budget dedicated to research.</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11</w:t>
            </w:r>
          </w:p>
          <w:p w:rsidR="00AB5E0A" w:rsidRPr="00212308" w:rsidRDefault="00AB5E0A" w:rsidP="009C14A3">
            <w:pPr>
              <w:jc w:val="center"/>
              <w:rPr>
                <w:b/>
                <w:bCs/>
                <w:sz w:val="20"/>
                <w:szCs w:val="20"/>
                <w:lang w:val="en-GB"/>
              </w:rPr>
            </w:pPr>
            <w:r w:rsidRPr="00212308">
              <w:rPr>
                <w:b/>
                <w:bCs/>
                <w:sz w:val="20"/>
                <w:szCs w:val="20"/>
                <w:lang w:val="en-GB"/>
              </w:rPr>
              <w:t>Community Service</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S11.1</w:t>
            </w:r>
          </w:p>
        </w:tc>
        <w:tc>
          <w:tcPr>
            <w:tcW w:w="4230" w:type="dxa"/>
            <w:shd w:val="clear" w:color="auto" w:fill="auto"/>
          </w:tcPr>
          <w:p w:rsidR="00AB5E0A" w:rsidRPr="00212308" w:rsidRDefault="00AB5E0A" w:rsidP="009C14A3">
            <w:pPr>
              <w:rPr>
                <w:sz w:val="20"/>
                <w:szCs w:val="20"/>
                <w:lang w:val="en-GB"/>
              </w:rPr>
            </w:pPr>
            <w:r>
              <w:rPr>
                <w:sz w:val="20"/>
                <w:szCs w:val="20"/>
                <w:lang w:val="en-GB"/>
              </w:rPr>
              <w:t>32</w:t>
            </w:r>
            <w:r w:rsidRPr="00212308">
              <w:rPr>
                <w:sz w:val="20"/>
                <w:szCs w:val="20"/>
                <w:lang w:val="en-GB"/>
              </w:rPr>
              <w:t>.  Proportion of full time teaching and other staff actively engaged in community service activities.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rPr>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S11.2</w:t>
            </w:r>
          </w:p>
        </w:tc>
        <w:tc>
          <w:tcPr>
            <w:tcW w:w="4230" w:type="dxa"/>
            <w:shd w:val="clear" w:color="auto" w:fill="auto"/>
          </w:tcPr>
          <w:p w:rsidR="00AB5E0A" w:rsidRPr="00212308" w:rsidRDefault="00AB5E0A" w:rsidP="009C14A3">
            <w:pPr>
              <w:rPr>
                <w:sz w:val="20"/>
                <w:szCs w:val="20"/>
                <w:lang w:val="en-GB"/>
              </w:rPr>
            </w:pPr>
            <w:r>
              <w:rPr>
                <w:sz w:val="20"/>
                <w:szCs w:val="20"/>
                <w:lang w:val="en-GB"/>
              </w:rPr>
              <w:t>33</w:t>
            </w:r>
            <w:r w:rsidRPr="00212308">
              <w:rPr>
                <w:sz w:val="20"/>
                <w:szCs w:val="20"/>
                <w:lang w:val="en-GB"/>
              </w:rPr>
              <w:t>.  Number of community education programs provided as a proportion of the number of departments.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F3317E" w:rsidTr="009C14A3">
        <w:tc>
          <w:tcPr>
            <w:tcW w:w="9288" w:type="dxa"/>
            <w:gridSpan w:val="4"/>
          </w:tcPr>
          <w:p w:rsidR="00AB5E0A" w:rsidRDefault="00AB5E0A" w:rsidP="009C14A3">
            <w:pPr>
              <w:rPr>
                <w:b/>
                <w:bCs/>
                <w:sz w:val="20"/>
                <w:szCs w:val="20"/>
                <w:lang w:val="en-GB"/>
              </w:rPr>
            </w:pPr>
          </w:p>
          <w:p w:rsidR="00AB5E0A" w:rsidRDefault="00AB5E0A" w:rsidP="009C14A3">
            <w:pPr>
              <w:rPr>
                <w:b/>
                <w:bCs/>
                <w:color w:val="FF0000"/>
                <w:sz w:val="20"/>
                <w:szCs w:val="20"/>
                <w:lang w:val="en-GB"/>
              </w:rPr>
            </w:pPr>
            <w:r>
              <w:rPr>
                <w:b/>
                <w:bCs/>
                <w:sz w:val="20"/>
                <w:szCs w:val="20"/>
                <w:lang w:val="en-GB"/>
              </w:rPr>
              <w:t xml:space="preserve">    </w:t>
            </w:r>
            <w:r w:rsidRPr="00F3317E">
              <w:rPr>
                <w:b/>
                <w:bCs/>
                <w:sz w:val="20"/>
                <w:szCs w:val="20"/>
                <w:lang w:val="en-GB"/>
              </w:rPr>
              <w:t>11 Standards</w:t>
            </w:r>
            <w:r>
              <w:rPr>
                <w:b/>
                <w:bCs/>
                <w:sz w:val="20"/>
                <w:szCs w:val="20"/>
                <w:lang w:val="en-GB"/>
              </w:rPr>
              <w:t xml:space="preserve"> and 33 KPIs        </w:t>
            </w:r>
            <w:r w:rsidRPr="00336F76">
              <w:rPr>
                <w:b/>
                <w:bCs/>
                <w:sz w:val="20"/>
                <w:szCs w:val="20"/>
                <w:lang w:val="en-GB"/>
              </w:rPr>
              <w:t>Programs and Institutio</w:t>
            </w:r>
            <w:r>
              <w:rPr>
                <w:b/>
                <w:bCs/>
                <w:sz w:val="20"/>
                <w:szCs w:val="20"/>
                <w:lang w:val="en-GB"/>
              </w:rPr>
              <w:t>ns are to complete 70</w:t>
            </w:r>
            <w:r w:rsidRPr="00336F76">
              <w:rPr>
                <w:b/>
                <w:bCs/>
                <w:sz w:val="20"/>
                <w:szCs w:val="20"/>
                <w:lang w:val="en-GB"/>
              </w:rPr>
              <w:t>% of the NCAAA KPIs.</w:t>
            </w:r>
          </w:p>
          <w:p w:rsidR="00AB5E0A" w:rsidRPr="00F3317E" w:rsidRDefault="00AB5E0A" w:rsidP="009C14A3">
            <w:pPr>
              <w:rPr>
                <w:b/>
                <w:bCs/>
                <w:color w:val="FF0000"/>
                <w:sz w:val="20"/>
                <w:szCs w:val="20"/>
                <w:lang w:val="en-GB"/>
              </w:rPr>
            </w:pPr>
          </w:p>
        </w:tc>
      </w:tr>
    </w:tbl>
    <w:p w:rsidR="00AB5E0A" w:rsidRDefault="00AB5E0A" w:rsidP="00AB5E0A">
      <w:pPr>
        <w:jc w:val="center"/>
        <w:rPr>
          <w:sz w:val="32"/>
          <w:szCs w:val="32"/>
        </w:rPr>
      </w:pPr>
    </w:p>
    <w:p w:rsidR="00AB5E0A" w:rsidRDefault="00AB5E0A" w:rsidP="00AB5E0A">
      <w:pPr>
        <w:jc w:val="both"/>
        <w:rPr>
          <w:sz w:val="32"/>
          <w:szCs w:val="32"/>
        </w:rPr>
      </w:pPr>
      <w:r>
        <w:rPr>
          <w:sz w:val="32"/>
          <w:szCs w:val="32"/>
        </w:rPr>
        <w:t>Glossary</w:t>
      </w:r>
    </w:p>
    <w:p w:rsidR="00AB5E0A" w:rsidRDefault="00AB5E0A" w:rsidP="00AB5E0A">
      <w:pPr>
        <w:jc w:val="both"/>
        <w:rPr>
          <w:sz w:val="32"/>
          <w:szCs w:val="32"/>
        </w:rPr>
      </w:pPr>
    </w:p>
    <w:p w:rsidR="00AB5E0A" w:rsidRDefault="00AB5E0A" w:rsidP="00AB5E0A">
      <w:pPr>
        <w:jc w:val="both"/>
        <w:rPr>
          <w:rFonts w:asciiTheme="majorBidi" w:hAnsiTheme="majorBidi" w:cstheme="majorBidi"/>
          <w:bCs/>
        </w:rPr>
      </w:pPr>
      <w:r w:rsidRPr="00016187">
        <w:rPr>
          <w:rFonts w:asciiTheme="majorBidi" w:hAnsiTheme="majorBidi" w:cstheme="majorBidi"/>
          <w:b/>
        </w:rPr>
        <w:t xml:space="preserve">Full time equivalent (FTE) for faculty members: </w:t>
      </w:r>
      <w:r w:rsidR="002463F7">
        <w:rPr>
          <w:rFonts w:asciiTheme="majorBidi" w:hAnsiTheme="majorBidi" w:cstheme="majorBidi"/>
          <w:bCs/>
        </w:rPr>
        <w:t>1 FTE equals what MO</w:t>
      </w:r>
      <w:r w:rsidRPr="00016187">
        <w:rPr>
          <w:rFonts w:asciiTheme="majorBidi" w:hAnsiTheme="majorBidi" w:cstheme="majorBidi"/>
          <w:bCs/>
        </w:rPr>
        <w:t>E defines as a full-time load for faculty members.</w:t>
      </w:r>
    </w:p>
    <w:p w:rsidR="00AB5E0A" w:rsidRPr="00016187" w:rsidRDefault="00AB5E0A" w:rsidP="00AB5E0A">
      <w:pPr>
        <w:jc w:val="both"/>
        <w:rPr>
          <w:rFonts w:asciiTheme="majorBidi" w:hAnsiTheme="majorBidi" w:cstheme="majorBidi"/>
          <w:bCs/>
        </w:rPr>
      </w:pPr>
    </w:p>
    <w:p w:rsidR="00AB5E0A" w:rsidRPr="00016187" w:rsidRDefault="00AB5E0A" w:rsidP="00AB5E0A">
      <w:pPr>
        <w:jc w:val="both"/>
        <w:rPr>
          <w:rStyle w:val="Strong"/>
          <w:rFonts w:asciiTheme="majorBidi" w:hAnsiTheme="majorBidi" w:cstheme="majorBidi"/>
          <w:b w:val="0"/>
          <w:bCs w:val="0"/>
          <w:color w:val="000000" w:themeColor="text1"/>
        </w:rPr>
      </w:pPr>
      <w:r w:rsidRPr="00016187">
        <w:rPr>
          <w:rStyle w:val="Strong"/>
          <w:rFonts w:asciiTheme="majorBidi" w:hAnsiTheme="majorBidi" w:cstheme="majorBidi"/>
          <w:color w:val="000000" w:themeColor="text1"/>
        </w:rPr>
        <w:t xml:space="preserve">Full time equivalent (FTE) of teaching staff: </w:t>
      </w:r>
      <w:r w:rsidR="002463F7">
        <w:rPr>
          <w:rFonts w:asciiTheme="majorBidi" w:hAnsiTheme="majorBidi" w:cstheme="majorBidi"/>
          <w:bCs/>
          <w:color w:val="000000" w:themeColor="text1"/>
        </w:rPr>
        <w:t>1 FTE equals what MO</w:t>
      </w:r>
      <w:r w:rsidRPr="00016187">
        <w:rPr>
          <w:rFonts w:asciiTheme="majorBidi" w:hAnsiTheme="majorBidi" w:cstheme="majorBidi"/>
          <w:bCs/>
          <w:color w:val="000000" w:themeColor="text1"/>
        </w:rPr>
        <w:t>E defines as a full-time load for teaching staff</w:t>
      </w:r>
      <w:r w:rsidRPr="00016187">
        <w:rPr>
          <w:rStyle w:val="Strong"/>
          <w:rFonts w:asciiTheme="majorBidi" w:hAnsiTheme="majorBidi" w:cstheme="majorBidi"/>
          <w:color w:val="000000" w:themeColor="text1"/>
        </w:rPr>
        <w:t>.</w:t>
      </w:r>
    </w:p>
    <w:p w:rsidR="00AB5E0A" w:rsidRPr="00016187" w:rsidRDefault="00AB5E0A" w:rsidP="00AB5E0A">
      <w:pPr>
        <w:jc w:val="both"/>
        <w:rPr>
          <w:rStyle w:val="Strong"/>
          <w:rFonts w:asciiTheme="majorBidi" w:hAnsiTheme="majorBidi" w:cstheme="majorBidi"/>
          <w:b w:val="0"/>
          <w:bCs w:val="0"/>
          <w:color w:val="000000" w:themeColor="text1"/>
        </w:rPr>
      </w:pPr>
    </w:p>
    <w:p w:rsidR="00AB5E0A" w:rsidRPr="00016187" w:rsidRDefault="00AB5E0A" w:rsidP="00AB5E0A">
      <w:pPr>
        <w:jc w:val="both"/>
        <w:rPr>
          <w:rFonts w:asciiTheme="majorBidi" w:hAnsiTheme="majorBidi" w:cstheme="majorBidi"/>
          <w:color w:val="000000" w:themeColor="text1"/>
        </w:rPr>
      </w:pPr>
      <w:r w:rsidRPr="00016187">
        <w:rPr>
          <w:rFonts w:asciiTheme="majorBidi" w:hAnsiTheme="majorBidi" w:cstheme="majorBidi"/>
          <w:b/>
          <w:bCs/>
          <w:color w:val="000000" w:themeColor="text1"/>
        </w:rPr>
        <w:t xml:space="preserve">Note:  </w:t>
      </w:r>
      <w:r w:rsidRPr="00016187">
        <w:rPr>
          <w:rFonts w:asciiTheme="majorBidi" w:hAnsiTheme="majorBidi" w:cstheme="majorBidi"/>
          <w:color w:val="000000" w:themeColor="text1"/>
        </w:rPr>
        <w:t>Teaching staff include teaching assistants, language instructors, lecturers, and assistant, associate and full professors. This does not include research or laboratory assistants. Academic staff who oversee the planning and delivery of teaching programs are included (e.g., head of department, dean for a college, rector and vice rectors).</w:t>
      </w:r>
    </w:p>
    <w:p w:rsidR="00AB5E0A" w:rsidRPr="00016187" w:rsidRDefault="00AB5E0A" w:rsidP="00AB5E0A">
      <w:pPr>
        <w:jc w:val="both"/>
        <w:rPr>
          <w:rStyle w:val="Strong"/>
          <w:rFonts w:asciiTheme="majorBidi" w:hAnsiTheme="majorBidi" w:cstheme="majorBidi"/>
          <w:b w:val="0"/>
          <w:bCs w:val="0"/>
          <w:color w:val="000000" w:themeColor="text1"/>
        </w:rPr>
      </w:pPr>
    </w:p>
    <w:p w:rsidR="00AB5E0A" w:rsidRPr="00016187" w:rsidRDefault="00AB5E0A" w:rsidP="00AB5E0A">
      <w:pPr>
        <w:autoSpaceDE w:val="0"/>
        <w:autoSpaceDN w:val="0"/>
        <w:adjustRightInd w:val="0"/>
        <w:jc w:val="both"/>
        <w:rPr>
          <w:rFonts w:asciiTheme="majorBidi" w:hAnsiTheme="majorBidi" w:cstheme="majorBidi"/>
          <w:color w:val="000000" w:themeColor="text1"/>
        </w:rPr>
      </w:pPr>
      <w:r w:rsidRPr="00016187">
        <w:rPr>
          <w:rFonts w:asciiTheme="majorBidi" w:hAnsiTheme="majorBidi" w:cstheme="majorBidi"/>
          <w:b/>
          <w:bCs/>
          <w:color w:val="000000" w:themeColor="text1"/>
        </w:rPr>
        <w:t>Initial Cohort:</w:t>
      </w:r>
      <w:r w:rsidRPr="00016187">
        <w:rPr>
          <w:rFonts w:asciiTheme="majorBidi" w:hAnsiTheme="majorBidi" w:cstheme="majorBidi"/>
          <w:color w:val="000000" w:themeColor="text1"/>
        </w:rPr>
        <w:t xml:space="preserve"> All students who enter an academic Program as first-time, full-time, degree seeking undergraduate students for the given Fall Semester.</w:t>
      </w:r>
    </w:p>
    <w:p w:rsidR="00AB5E0A" w:rsidRPr="00016187" w:rsidRDefault="00AB5E0A" w:rsidP="00AB5E0A">
      <w:pPr>
        <w:autoSpaceDE w:val="0"/>
        <w:autoSpaceDN w:val="0"/>
        <w:adjustRightInd w:val="0"/>
        <w:rPr>
          <w:rFonts w:asciiTheme="majorBidi" w:hAnsiTheme="majorBidi" w:cstheme="majorBidi"/>
          <w:b/>
          <w:bCs/>
          <w:color w:val="000000" w:themeColor="text1"/>
        </w:rPr>
      </w:pPr>
    </w:p>
    <w:p w:rsidR="00AB5E0A" w:rsidRPr="00016187" w:rsidRDefault="00AB5E0A" w:rsidP="00AB5E0A">
      <w:pPr>
        <w:jc w:val="both"/>
        <w:rPr>
          <w:rFonts w:asciiTheme="majorBidi" w:hAnsiTheme="majorBidi" w:cstheme="majorBidi"/>
        </w:rPr>
      </w:pPr>
      <w:r w:rsidRPr="00016187">
        <w:rPr>
          <w:rFonts w:asciiTheme="majorBidi" w:hAnsiTheme="majorBidi" w:cstheme="majorBidi"/>
          <w:b/>
          <w:bCs/>
          <w:color w:val="000000" w:themeColor="text1"/>
        </w:rPr>
        <w:t>Completion rate/Graduation rate for undergraduate students:</w:t>
      </w:r>
      <w:r w:rsidRPr="00016187">
        <w:rPr>
          <w:rFonts w:asciiTheme="majorBidi" w:hAnsiTheme="majorBidi" w:cstheme="majorBidi"/>
          <w:color w:val="000000" w:themeColor="text1"/>
        </w:rPr>
        <w:t xml:space="preserve"> The percentage of the cohort class in a given Fall Semester who graduated within a designated period of time. For example, </w:t>
      </w:r>
      <w:r w:rsidRPr="00016187">
        <w:rPr>
          <w:rFonts w:asciiTheme="majorBidi" w:hAnsiTheme="majorBidi" w:cstheme="majorBidi"/>
          <w:color w:val="000000" w:themeColor="text1"/>
          <w:u w:val="single"/>
        </w:rPr>
        <w:t>in a four-year program</w:t>
      </w:r>
      <w:r w:rsidRPr="00016187">
        <w:rPr>
          <w:rFonts w:asciiTheme="majorBidi" w:hAnsiTheme="majorBidi" w:cstheme="majorBidi"/>
          <w:color w:val="000000" w:themeColor="text1"/>
        </w:rPr>
        <w:t>, the "Four-Year Graduation" rate for the Fall Semester 2008 cohort class is the percentage of the Fall Semester 2008 cohort class who graduated from the institution before Fall Semester 2012.</w:t>
      </w:r>
    </w:p>
    <w:p w:rsidR="00AB5E0A" w:rsidRPr="00016187" w:rsidRDefault="00AB5E0A" w:rsidP="00AB5E0A">
      <w:pPr>
        <w:jc w:val="both"/>
        <w:rPr>
          <w:rFonts w:asciiTheme="majorBidi" w:hAnsiTheme="majorBidi" w:cstheme="majorBidi"/>
        </w:rPr>
      </w:pPr>
    </w:p>
    <w:p w:rsidR="00AB5E0A" w:rsidRPr="00016187" w:rsidRDefault="00AB5E0A" w:rsidP="00AB5E0A">
      <w:pPr>
        <w:rPr>
          <w:rFonts w:asciiTheme="majorBidi" w:hAnsiTheme="majorBidi" w:cstheme="majorBidi"/>
          <w:bCs/>
          <w:color w:val="000000" w:themeColor="text1"/>
          <w:lang w:bidi="ar-EG"/>
        </w:rPr>
      </w:pPr>
      <w:r w:rsidRPr="00016187">
        <w:rPr>
          <w:rFonts w:asciiTheme="majorBidi" w:hAnsiTheme="majorBidi" w:cstheme="majorBidi"/>
          <w:b/>
          <w:color w:val="000000" w:themeColor="text1"/>
          <w:lang w:bidi="ar-EG"/>
        </w:rPr>
        <w:t xml:space="preserve">Completion rate for postgraduate students: </w:t>
      </w:r>
      <w:r w:rsidRPr="00016187">
        <w:rPr>
          <w:rFonts w:asciiTheme="majorBidi" w:hAnsiTheme="majorBidi" w:cstheme="majorBidi"/>
          <w:color w:val="000000" w:themeColor="text1"/>
          <w:lang w:bidi="ar-EG"/>
        </w:rPr>
        <w:t xml:space="preserve">The proportion of students entering postgraduate programs who complete those programs in specified time. </w:t>
      </w:r>
    </w:p>
    <w:p w:rsidR="00AB5E0A" w:rsidRPr="00016187" w:rsidRDefault="00AB5E0A" w:rsidP="00AB5E0A">
      <w:pPr>
        <w:jc w:val="both"/>
        <w:rPr>
          <w:rFonts w:asciiTheme="majorBidi" w:hAnsiTheme="majorBidi" w:cstheme="majorBidi"/>
        </w:rPr>
      </w:pPr>
    </w:p>
    <w:p w:rsidR="00AB5E0A" w:rsidRPr="00016187" w:rsidRDefault="00AB5E0A" w:rsidP="00AB5E0A">
      <w:pPr>
        <w:jc w:val="both"/>
        <w:rPr>
          <w:rFonts w:asciiTheme="majorBidi" w:hAnsiTheme="majorBidi" w:cstheme="majorBidi"/>
        </w:rPr>
      </w:pPr>
      <w:r w:rsidRPr="00016187">
        <w:rPr>
          <w:rFonts w:asciiTheme="majorBidi" w:hAnsiTheme="majorBidi" w:cstheme="majorBidi"/>
          <w:b/>
          <w:bCs/>
        </w:rPr>
        <w:t>Stakeholders:</w:t>
      </w:r>
      <w:r w:rsidRPr="00016187">
        <w:rPr>
          <w:rFonts w:asciiTheme="majorBidi" w:hAnsiTheme="majorBidi" w:cstheme="majorBidi"/>
        </w:rPr>
        <w:t xml:space="preserve"> Stakeholders may include undergraduate and graduate students, teaching staff, researchers, supporting staff, alumni, and employers. </w:t>
      </w:r>
    </w:p>
    <w:p w:rsidR="00AB5E0A" w:rsidRDefault="00AB5E0A" w:rsidP="00AB5E0A">
      <w:pPr>
        <w:jc w:val="center"/>
        <w:rPr>
          <w:sz w:val="32"/>
          <w:szCs w:val="32"/>
        </w:rPr>
      </w:pPr>
      <w:r w:rsidRPr="00725AB9">
        <w:rPr>
          <w:sz w:val="32"/>
          <w:szCs w:val="32"/>
        </w:rPr>
        <w:t xml:space="preserve"> </w:t>
      </w:r>
      <w:r>
        <w:rPr>
          <w:b/>
          <w:bCs/>
        </w:rPr>
        <w:br/>
      </w:r>
    </w:p>
    <w:p w:rsidR="00AB5E0A" w:rsidRPr="00BD6DCF" w:rsidRDefault="00AB5E0A" w:rsidP="00AB5E0A">
      <w:pPr>
        <w:jc w:val="center"/>
        <w:rPr>
          <w:b/>
          <w:bCs/>
        </w:rPr>
      </w:pPr>
      <w:r w:rsidRPr="00725AB9">
        <w:rPr>
          <w:sz w:val="32"/>
          <w:szCs w:val="32"/>
        </w:rPr>
        <w:t xml:space="preserve"> </w:t>
      </w:r>
      <w:r w:rsidRPr="00BD6DCF">
        <w:rPr>
          <w:b/>
          <w:bCs/>
        </w:rPr>
        <w:t>Explanatory Notes</w:t>
      </w:r>
    </w:p>
    <w:p w:rsidR="00AB5E0A" w:rsidRDefault="00AB5E0A" w:rsidP="00AB5E0A">
      <w:pPr>
        <w:jc w:val="center"/>
        <w:rPr>
          <w:sz w:val="32"/>
          <w:szCs w:val="32"/>
        </w:rPr>
      </w:pPr>
    </w:p>
    <w:p w:rsidR="00AB5E0A" w:rsidRDefault="00AB5E0A" w:rsidP="00AB5E0A">
      <w:pPr>
        <w:jc w:val="both"/>
      </w:pPr>
      <w:r w:rsidRPr="004D7ABA">
        <w:t>Evidence of quality of performance can be obtained from a wide range of sources</w:t>
      </w:r>
      <w:r>
        <w:t xml:space="preserve"> including measurable objective data and other sources of feedback that are relevant to the matters being considered.  Performance indicators are specific pieces of evidence that are normally pre-selected and used consistently over time so progress can be assessed and comparisons made with past performance, with other programs, departments, colleges or sections within an institution, or between institutions.</w:t>
      </w:r>
    </w:p>
    <w:p w:rsidR="00AB5E0A" w:rsidRDefault="00AB5E0A" w:rsidP="00AB5E0A">
      <w:pPr>
        <w:jc w:val="both"/>
      </w:pPr>
    </w:p>
    <w:p w:rsidR="00AB5E0A" w:rsidRDefault="00AB5E0A" w:rsidP="00AB5E0A">
      <w:pPr>
        <w:jc w:val="both"/>
      </w:pPr>
      <w:r>
        <w:t>Certain items that are regarded as particularly important are described as key performance indicators (KPIs).  They may be identified for use within or by agreement between institutions, or for use within a higher education system as a whole.</w:t>
      </w:r>
    </w:p>
    <w:p w:rsidR="00AB5E0A" w:rsidRDefault="00AB5E0A" w:rsidP="00AB5E0A">
      <w:pPr>
        <w:jc w:val="both"/>
      </w:pPr>
    </w:p>
    <w:p w:rsidR="00AB5E0A" w:rsidRDefault="00AB5E0A" w:rsidP="00AB5E0A">
      <w:pPr>
        <w:jc w:val="both"/>
      </w:pPr>
      <w:r>
        <w:t>The KPIs listed in this document have been identified by the National Commission for Academic Accreditation &amp; Assessment in the Kingdom of Saudi Arabia for use within institutions (additional KPIs may be identified and used as desired) to provide a set of information that can be useful for internal evaluations and to establish national benchmarks as a basis for comparisons for individual institutions.</w:t>
      </w:r>
    </w:p>
    <w:p w:rsidR="00AB5E0A" w:rsidRDefault="00AB5E0A" w:rsidP="00AB5E0A">
      <w:pPr>
        <w:jc w:val="both"/>
      </w:pPr>
    </w:p>
    <w:p w:rsidR="00AB5E0A" w:rsidRDefault="00AB5E0A" w:rsidP="00AB5E0A">
      <w:pPr>
        <w:jc w:val="both"/>
      </w:pPr>
      <w:r>
        <w:t>If the KPIs are to be useful for this purpose they must be calculated in consistent ways and the notes provided here are designed to help ensure that this is done.</w:t>
      </w:r>
    </w:p>
    <w:p w:rsidR="00AB5E0A" w:rsidRDefault="00AB5E0A" w:rsidP="00AB5E0A">
      <w:pPr>
        <w:jc w:val="both"/>
      </w:pPr>
    </w:p>
    <w:p w:rsidR="00AB5E0A" w:rsidRDefault="00AB5E0A" w:rsidP="00AB5E0A">
      <w:pPr>
        <w:jc w:val="both"/>
        <w:rPr>
          <w:b/>
        </w:rPr>
      </w:pPr>
      <w:r w:rsidRPr="00A93B8C">
        <w:rPr>
          <w:b/>
        </w:rPr>
        <w:t>Levels at Which Data is Required</w:t>
      </w:r>
    </w:p>
    <w:p w:rsidR="00AB5E0A" w:rsidRDefault="00AB5E0A" w:rsidP="00AB5E0A">
      <w:pPr>
        <w:jc w:val="both"/>
        <w:rPr>
          <w:b/>
        </w:rPr>
      </w:pPr>
    </w:p>
    <w:p w:rsidR="00DB0286" w:rsidRDefault="00DB0286" w:rsidP="00AB5E0A">
      <w:pPr>
        <w:jc w:val="both"/>
      </w:pPr>
      <w:r>
        <w:t>NCAAA requires KPIs for its institutional and program level templates. Accordingly, some institutional level KPIs are assigned to colleges and individual departments. The program level data is aggregated for institutional accreditation assessments and may be used separately at the program level for programmatic accreditation benchmarking and assessment. Then too, there may be additional KPIs utilized specifically at the institutional level or at the program level. Furthermore, multi-level KPIs should be mapped, ongoing data should be collected at each level, and trends should be identified over time; including learning outcome KPIs that map to specific courses and their corresponding assessments.</w:t>
      </w:r>
    </w:p>
    <w:p w:rsidR="00DB0286" w:rsidRDefault="00DB0286" w:rsidP="00AB5E0A">
      <w:pPr>
        <w:jc w:val="both"/>
      </w:pPr>
    </w:p>
    <w:p w:rsidR="00AB5E0A" w:rsidRPr="00DB68B4" w:rsidRDefault="00AB5E0A" w:rsidP="00AB5E0A">
      <w:pPr>
        <w:jc w:val="both"/>
      </w:pPr>
      <w:r w:rsidRPr="00DB68B4">
        <w:t>Data is required at all levels. The list of KPIs refers to several different levels at which data should be obtained, the level of individual programs or departments, different colleges, and institutions as a whole.  To meet these requirements information should be provided for each program individually, aggregated to give a figure for each college, and then aggregated again so that figures are available for a total institution.  When this is done it is possible for comparisons to be made between different programs or colleges within an institution or with equivalent programs or colleges elsewhere, as well as between institutions as a whole.</w:t>
      </w:r>
    </w:p>
    <w:p w:rsidR="00AB5E0A" w:rsidRPr="00DB68B4" w:rsidRDefault="00AB5E0A" w:rsidP="00AB5E0A">
      <w:pPr>
        <w:jc w:val="both"/>
      </w:pPr>
    </w:p>
    <w:p w:rsidR="00AB5E0A" w:rsidRDefault="00AB5E0A" w:rsidP="00AB5E0A">
      <w:pPr>
        <w:jc w:val="both"/>
      </w:pPr>
      <w:r w:rsidRPr="00DB68B4">
        <w:t xml:space="preserve">All NCAAA KPIs serve at the institutional level. Most KPIs are utilized at all levels, provided the interpretation is aligned with the level. Some KPIs serve best at the program level. In some instances, a college may also be an institution and in other cases a college may be a program, therefore these KPIs and guidelines are intended to be flexible. </w:t>
      </w:r>
    </w:p>
    <w:p w:rsidR="00A41162" w:rsidRDefault="00A41162" w:rsidP="00AB5E0A">
      <w:pPr>
        <w:jc w:val="both"/>
      </w:pPr>
    </w:p>
    <w:p w:rsidR="00A41162" w:rsidRDefault="00A41162" w:rsidP="00A41162">
      <w:pPr>
        <w:jc w:val="both"/>
      </w:pPr>
      <w:r>
        <w:t xml:space="preserve">NCAAA has not provided specific KPIs that designed to directly assess student learning outcomes. Nevertheless, direct assessment of program level student learning outcomes is required by NCAAA. Therefore, institutions should show that there is an institutional level quality assessment system for program level learning outcomes and they are directly assessed with KPIs that align with specific content of its specialty area. NCAAA does provide a wide range of specialty area learning outcomes, (see D.7. </w:t>
      </w:r>
      <w:r w:rsidRPr="00285D74">
        <w:rPr>
          <w:i/>
          <w:iCs/>
        </w:rPr>
        <w:t>LOs Guidelines for Professional Programs</w:t>
      </w:r>
      <w:r>
        <w:t>).</w:t>
      </w:r>
    </w:p>
    <w:p w:rsidR="00DB0286" w:rsidRDefault="00DB0286" w:rsidP="00A41162">
      <w:pPr>
        <w:jc w:val="both"/>
      </w:pPr>
    </w:p>
    <w:p w:rsidR="00DB0286" w:rsidRDefault="00DB0286" w:rsidP="00DB0286">
      <w:pPr>
        <w:jc w:val="both"/>
      </w:pPr>
      <w:r>
        <w:t xml:space="preserve">Aggregation of data is important at all levels. To aggregate data from individual courses to the level of a department (or program), the result should be an average of the overall results for each course, not an average of all the individual student results in those courses.  For example if there were five courses with average ratings of 4.0, 2.5, 4.0, 4.5, 3.0 the aggregated average result would be 3.6 (the average of those numbers) regardless of the number of students in each course.  Similarly when results for departments are aggregated to the level of a college the figure should be the average of the departments without any weighting for numbers of students or of courses offered.  When colleges are combined for an institution as a whole the result should be an average for all the colleges.  </w:t>
      </w:r>
    </w:p>
    <w:p w:rsidR="00DB0286" w:rsidRDefault="00DB0286" w:rsidP="00DB0286">
      <w:pPr>
        <w:jc w:val="both"/>
      </w:pPr>
      <w:r>
        <w:t xml:space="preserve">When figures for male and female sections are combined to provide a total figure for a program or department, a college, or an institution, the total figures should be provided separately for male and female sections and as well as a combined figure for the two sections together at each of these levels.. </w:t>
      </w:r>
    </w:p>
    <w:p w:rsidR="00AB5E0A" w:rsidRDefault="00AB5E0A" w:rsidP="00AB5E0A">
      <w:pPr>
        <w:jc w:val="both"/>
      </w:pPr>
    </w:p>
    <w:p w:rsidR="00AB5E0A" w:rsidRDefault="00AB5E0A" w:rsidP="00AB5E0A">
      <w:pPr>
        <w:jc w:val="both"/>
        <w:rPr>
          <w:b/>
        </w:rPr>
      </w:pPr>
      <w:r w:rsidRPr="00A93B8C">
        <w:rPr>
          <w:b/>
        </w:rPr>
        <w:t>Interpretations of Indicators</w:t>
      </w:r>
    </w:p>
    <w:p w:rsidR="00AB5E0A" w:rsidRDefault="00AB5E0A" w:rsidP="00AB5E0A">
      <w:pPr>
        <w:jc w:val="both"/>
        <w:rPr>
          <w:b/>
        </w:rPr>
      </w:pPr>
    </w:p>
    <w:p w:rsidR="00AB5E0A" w:rsidRDefault="00AB5E0A" w:rsidP="00AB5E0A">
      <w:pPr>
        <w:jc w:val="both"/>
      </w:pPr>
      <w:r w:rsidRPr="00A93B8C">
        <w:t>I</w:t>
      </w:r>
      <w:r>
        <w:t>ndicators are a form of evidence, but in themselves they are not proof of many important quality issues.  In conducting evaluations the data on the indicators must be interpreted taking into account the particular circumstances of what is being looked at.  For example a particular figure may be a good result if it shows improvement over previous figures and a matter of concern if it is falling.  Differences in ratios are to be expected for different fields of study and comparisons should be of like with like.   Figures must also be interpreted in relation to the mission and objectives of an institution or program.  For example a much higher level of research output would be expected for an established university with a mission to make a major research contribution than for a newly established institution or a college with a commitment to high quality undergraduate teaching.  However consistently calculated figures are important sources of data that can be analyzed and used in evaluations that take different circumstances into account.</w:t>
      </w:r>
    </w:p>
    <w:p w:rsidR="00AB5E0A" w:rsidRDefault="00AB5E0A" w:rsidP="00AB5E0A">
      <w:pPr>
        <w:jc w:val="both"/>
      </w:pPr>
    </w:p>
    <w:p w:rsidR="00AB5E0A" w:rsidRPr="00DB68B4" w:rsidRDefault="00AB5E0A" w:rsidP="00AB5E0A">
      <w:pPr>
        <w:jc w:val="both"/>
        <w:rPr>
          <w:b/>
          <w:bCs/>
        </w:rPr>
      </w:pPr>
      <w:r w:rsidRPr="00DB68B4">
        <w:rPr>
          <w:b/>
          <w:bCs/>
        </w:rPr>
        <w:t>KPI Tables</w:t>
      </w:r>
    </w:p>
    <w:p w:rsidR="00AB5E0A" w:rsidRPr="00DB68B4" w:rsidRDefault="00AB5E0A" w:rsidP="00AB5E0A">
      <w:pPr>
        <w:jc w:val="both"/>
      </w:pPr>
    </w:p>
    <w:p w:rsidR="00AB5E0A" w:rsidRPr="00336F76" w:rsidRDefault="00AB5E0A" w:rsidP="00AB5E0A">
      <w:pPr>
        <w:jc w:val="both"/>
      </w:pPr>
      <w:r w:rsidRPr="00336F76">
        <w:t xml:space="preserve">KPI tables are located in the SSRI and SSRP documents. They are specifically placed in order to align the KPI with a general standard as a whole or for a specific sub-standard. The KPI is to provide direct scientific evidence and reasonable analysis to support that the standard or sub-standard is met.  </w:t>
      </w:r>
    </w:p>
    <w:p w:rsidR="00AB5E0A" w:rsidRPr="00336F76" w:rsidRDefault="00AB5E0A" w:rsidP="00AB5E0A">
      <w:pPr>
        <w:jc w:val="both"/>
      </w:pPr>
    </w:p>
    <w:p w:rsidR="00AB5E0A" w:rsidRPr="00336F76" w:rsidRDefault="00AB5E0A" w:rsidP="00AB5E0A">
      <w:pPr>
        <w:jc w:val="both"/>
      </w:pPr>
      <w:r w:rsidRPr="00336F76">
        <w:t>NCAAA requires institut</w:t>
      </w:r>
      <w:r>
        <w:t>ions and programs to utilize 70%</w:t>
      </w:r>
      <w:r w:rsidRPr="00336F76">
        <w:t xml:space="preserve"> of the above KPIs. Additional KPIs are encouraged and should be used. The KPI table template can be copied, completed, and inserted into self study reports. </w:t>
      </w:r>
    </w:p>
    <w:p w:rsidR="00AB5E0A" w:rsidRDefault="00AB5E0A" w:rsidP="00AB5E0A">
      <w:pPr>
        <w:jc w:val="center"/>
        <w:rPr>
          <w:sz w:val="22"/>
          <w:szCs w:val="22"/>
        </w:rPr>
      </w:pPr>
    </w:p>
    <w:p w:rsidR="00AB5E0A" w:rsidRDefault="00AB5E0A" w:rsidP="00AB5E0A">
      <w:pPr>
        <w:jc w:val="center"/>
        <w:rPr>
          <w:sz w:val="22"/>
          <w:szCs w:val="22"/>
        </w:rPr>
      </w:pPr>
    </w:p>
    <w:p w:rsidR="00AB5E0A" w:rsidRDefault="00AB5E0A" w:rsidP="00AB5E0A">
      <w:pPr>
        <w:jc w:val="center"/>
        <w:rPr>
          <w:sz w:val="22"/>
          <w:szCs w:val="22"/>
        </w:rPr>
      </w:pPr>
    </w:p>
    <w:p w:rsidR="00AB5E0A" w:rsidRDefault="00AB5E0A" w:rsidP="00AB5E0A">
      <w:pPr>
        <w:jc w:val="center"/>
        <w:rPr>
          <w:sz w:val="22"/>
          <w:szCs w:val="22"/>
        </w:rPr>
      </w:pPr>
    </w:p>
    <w:p w:rsidR="00AB5E0A" w:rsidRPr="00336F76" w:rsidRDefault="00AB5E0A" w:rsidP="00AB5E0A">
      <w:pPr>
        <w:jc w:val="center"/>
        <w:rPr>
          <w:b/>
          <w:bCs/>
        </w:rPr>
      </w:pPr>
      <w:r w:rsidRPr="00336F76">
        <w:rPr>
          <w:b/>
          <w:bCs/>
        </w:rPr>
        <w:t>KPI Table Template</w:t>
      </w:r>
    </w:p>
    <w:p w:rsidR="00AB5E0A" w:rsidRPr="00DB68B4" w:rsidRDefault="00AB5E0A" w:rsidP="00AB5E0A">
      <w:pPr>
        <w:jc w:val="both"/>
        <w:rPr>
          <w:sz w:val="22"/>
          <w:szCs w:val="22"/>
        </w:rPr>
      </w:pPr>
    </w:p>
    <w:p w:rsidR="00AB5E0A" w:rsidRPr="00336F76" w:rsidRDefault="00AB5E0A" w:rsidP="00AB5E0A">
      <w:pPr>
        <w:jc w:val="both"/>
      </w:pPr>
      <w:r w:rsidRPr="00336F76">
        <w:t xml:space="preserve">Choose </w:t>
      </w:r>
      <w:r w:rsidRPr="00336F76">
        <w:rPr>
          <w:b/>
          <w:bCs/>
        </w:rPr>
        <w:t xml:space="preserve">ONE OR MORE </w:t>
      </w:r>
      <w:r w:rsidRPr="00336F76">
        <w:t>KPIs that best supports that the program meets this standard. Each KPI should use a separate KPI table. Insert the KPI in the table below, add the actual KPI benchmark with the other benchmarks, and provide an analytical interpretation that describes the outcome</w:t>
      </w:r>
      <w:r>
        <w:t xml:space="preserve"> results or illustrated data</w:t>
      </w:r>
      <w:r w:rsidRPr="00336F76">
        <w:t xml:space="preserve"> (most benchmarks are numerical and others may be descriptions that verify quality using a rubric). </w:t>
      </w:r>
    </w:p>
    <w:p w:rsidR="00AB5E0A" w:rsidRPr="00F32BF1" w:rsidRDefault="00AB5E0A" w:rsidP="00AB5E0A">
      <w:pPr>
        <w:rPr>
          <w:sz w:val="22"/>
          <w:szCs w:val="22"/>
        </w:rPr>
      </w:pPr>
    </w:p>
    <w:p w:rsidR="00AB5E0A" w:rsidRDefault="00AB5E0A" w:rsidP="00AB5E0A">
      <w:pPr>
        <w:rPr>
          <w:b/>
          <w:bCs/>
        </w:rPr>
      </w:pPr>
    </w:p>
    <w:tbl>
      <w:tblPr>
        <w:tblW w:w="9073" w:type="dxa"/>
        <w:tblInd w:w="-176" w:type="dxa"/>
        <w:tblCellMar>
          <w:left w:w="0" w:type="dxa"/>
          <w:right w:w="0" w:type="dxa"/>
        </w:tblCellMar>
        <w:tblLook w:val="04A0"/>
      </w:tblPr>
      <w:tblGrid>
        <w:gridCol w:w="1702"/>
        <w:gridCol w:w="1701"/>
        <w:gridCol w:w="1843"/>
        <w:gridCol w:w="1842"/>
        <w:gridCol w:w="1985"/>
      </w:tblGrid>
      <w:tr w:rsidR="00AB5E0A" w:rsidRPr="00546B9C" w:rsidTr="009C14A3">
        <w:trPr>
          <w:trHeight w:val="1463"/>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rPr>
                <w:rFonts w:ascii="Arial" w:hAnsi="Arial" w:cs="Arial"/>
                <w:sz w:val="22"/>
                <w:szCs w:val="22"/>
              </w:rPr>
            </w:pPr>
            <w:r>
              <w:rPr>
                <w:rFonts w:cs="Arial"/>
                <w:b/>
                <w:bCs/>
                <w:color w:val="000000"/>
                <w:kern w:val="24"/>
                <w:sz w:val="22"/>
                <w:szCs w:val="22"/>
              </w:rPr>
              <w:t xml:space="preserve">         </w:t>
            </w:r>
            <w:r w:rsidRPr="00546B9C">
              <w:rPr>
                <w:rFonts w:cs="Arial"/>
                <w:b/>
                <w:bCs/>
                <w:color w:val="000000"/>
                <w:kern w:val="24"/>
                <w:sz w:val="22"/>
                <w:szCs w:val="22"/>
              </w:rPr>
              <w:t xml:space="preserve">                                                                   NCAAA KPI Reference Number: _____________</w:t>
            </w:r>
          </w:p>
          <w:p w:rsidR="00AB5E0A" w:rsidRDefault="00AB5E0A" w:rsidP="009C14A3">
            <w:pPr>
              <w:tabs>
                <w:tab w:val="center" w:pos="4153"/>
                <w:tab w:val="right" w:pos="8306"/>
              </w:tabs>
              <w:rPr>
                <w:rFonts w:ascii="Arial" w:hAnsi="Arial" w:cs="Arial"/>
                <w:sz w:val="22"/>
                <w:szCs w:val="22"/>
              </w:rPr>
            </w:pPr>
            <w:r w:rsidRPr="00546B9C">
              <w:rPr>
                <w:rFonts w:cs="Arial"/>
                <w:b/>
                <w:bCs/>
                <w:color w:val="000000"/>
                <w:kern w:val="24"/>
                <w:sz w:val="22"/>
                <w:szCs w:val="22"/>
              </w:rPr>
              <w:t xml:space="preserve">                                                                             Institutional KPI Reference Number: _________</w:t>
            </w:r>
          </w:p>
          <w:p w:rsidR="00AB5E0A" w:rsidRDefault="00AB5E0A" w:rsidP="009C14A3">
            <w:pPr>
              <w:tabs>
                <w:tab w:val="center" w:pos="4153"/>
                <w:tab w:val="right" w:pos="8306"/>
              </w:tabs>
              <w:rPr>
                <w:rFonts w:ascii="Arial" w:hAnsi="Arial" w:cs="Arial"/>
                <w:sz w:val="22"/>
                <w:szCs w:val="22"/>
              </w:rPr>
            </w:pPr>
          </w:p>
          <w:p w:rsidR="00AB5E0A" w:rsidRPr="00546B9C" w:rsidRDefault="00AB5E0A" w:rsidP="009C14A3">
            <w:pPr>
              <w:tabs>
                <w:tab w:val="center" w:pos="4153"/>
                <w:tab w:val="right" w:pos="8306"/>
              </w:tabs>
              <w:rPr>
                <w:rFonts w:ascii="Arial" w:hAnsi="Arial" w:cs="Arial"/>
                <w:b/>
                <w:bCs/>
                <w:sz w:val="22"/>
                <w:szCs w:val="22"/>
              </w:rPr>
            </w:pPr>
            <w:r>
              <w:rPr>
                <w:rFonts w:ascii="Arial" w:hAnsi="Arial" w:cs="Arial"/>
                <w:b/>
                <w:bCs/>
                <w:sz w:val="22"/>
                <w:szCs w:val="22"/>
              </w:rPr>
              <w:t>KPI</w:t>
            </w:r>
            <w:r w:rsidRPr="00EA031A">
              <w:rPr>
                <w:rFonts w:ascii="Arial" w:hAnsi="Arial" w:cs="Arial"/>
                <w:b/>
                <w:bCs/>
                <w:sz w:val="22"/>
                <w:szCs w:val="22"/>
              </w:rPr>
              <w:t>:</w:t>
            </w:r>
          </w:p>
        </w:tc>
      </w:tr>
      <w:tr w:rsidR="00AB5E0A" w:rsidRPr="00546B9C" w:rsidTr="009C14A3">
        <w:trPr>
          <w:trHeight w:val="1034"/>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jc w:val="center"/>
              <w:rPr>
                <w:rFonts w:ascii="Arial" w:hAnsi="Arial" w:cs="Arial"/>
                <w:sz w:val="22"/>
                <w:szCs w:val="22"/>
              </w:rPr>
            </w:pPr>
            <w:r w:rsidRPr="00546B9C">
              <w:rPr>
                <w:rFonts w:cs="Arial"/>
                <w:b/>
                <w:bCs/>
                <w:color w:val="000000"/>
                <w:kern w:val="24"/>
                <w:sz w:val="22"/>
                <w:szCs w:val="22"/>
              </w:rPr>
              <w:t>Actual Benchmark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jc w:val="center"/>
              <w:rPr>
                <w:rFonts w:ascii="Arial" w:hAnsi="Arial" w:cs="Arial"/>
                <w:sz w:val="22"/>
                <w:szCs w:val="22"/>
              </w:rPr>
            </w:pPr>
            <w:r w:rsidRPr="00546B9C">
              <w:rPr>
                <w:rFonts w:cs="Arial"/>
                <w:b/>
                <w:bCs/>
                <w:color w:val="000000"/>
                <w:kern w:val="24"/>
                <w:sz w:val="22"/>
                <w:szCs w:val="22"/>
              </w:rPr>
              <w:t>Target Benchmark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jc w:val="center"/>
              <w:rPr>
                <w:rFonts w:ascii="Arial" w:hAnsi="Arial" w:cs="Arial"/>
                <w:sz w:val="22"/>
                <w:szCs w:val="22"/>
              </w:rPr>
            </w:pPr>
            <w:r w:rsidRPr="00546B9C">
              <w:rPr>
                <w:rFonts w:cs="Arial"/>
                <w:b/>
                <w:bCs/>
                <w:color w:val="000000"/>
                <w:kern w:val="24"/>
                <w:sz w:val="22"/>
                <w:szCs w:val="22"/>
              </w:rPr>
              <w:t>Internal Benchmark*</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jc w:val="center"/>
              <w:rPr>
                <w:rFonts w:ascii="Arial" w:hAnsi="Arial" w:cs="Arial"/>
                <w:sz w:val="22"/>
                <w:szCs w:val="22"/>
              </w:rPr>
            </w:pPr>
            <w:r w:rsidRPr="00546B9C">
              <w:rPr>
                <w:rFonts w:cs="Arial"/>
                <w:b/>
                <w:bCs/>
                <w:color w:val="000000"/>
                <w:kern w:val="24"/>
                <w:sz w:val="22"/>
                <w:szCs w:val="22"/>
              </w:rPr>
              <w:t>External Benchmark**</w:t>
            </w:r>
            <w:r w:rsidRPr="00546B9C">
              <w:rPr>
                <w:rFonts w:cs="Arial"/>
                <w:color w:val="000000"/>
                <w:kern w:val="24"/>
                <w:sz w:val="22"/>
                <w:szCs w:val="22"/>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jc w:val="center"/>
              <w:rPr>
                <w:rFonts w:ascii="Arial" w:hAnsi="Arial" w:cs="Arial"/>
                <w:sz w:val="22"/>
                <w:szCs w:val="22"/>
              </w:rPr>
            </w:pPr>
            <w:r w:rsidRPr="00546B9C">
              <w:rPr>
                <w:rFonts w:cs="Arial"/>
                <w:b/>
                <w:bCs/>
                <w:color w:val="000000"/>
                <w:kern w:val="24"/>
                <w:sz w:val="22"/>
                <w:szCs w:val="22"/>
              </w:rPr>
              <w:t>New Target Benchmark</w:t>
            </w:r>
            <w:r w:rsidRPr="00546B9C">
              <w:rPr>
                <w:rFonts w:cs="Arial"/>
                <w:color w:val="000000"/>
                <w:kern w:val="24"/>
                <w:sz w:val="22"/>
                <w:szCs w:val="22"/>
              </w:rPr>
              <w:t xml:space="preserve"> </w:t>
            </w:r>
          </w:p>
        </w:tc>
      </w:tr>
      <w:tr w:rsidR="00AB5E0A" w:rsidRPr="00546B9C" w:rsidTr="009C14A3">
        <w:trPr>
          <w:trHeight w:val="517"/>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rPr>
                <w:rFonts w:ascii="Arial" w:hAnsi="Arial" w:cs="Arial"/>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rPr>
                <w:rFonts w:ascii="Arial" w:hAnsi="Arial" w:cs="Arial"/>
                <w:sz w:val="22"/>
                <w:szCs w:val="22"/>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rPr>
                <w:rFonts w:ascii="Arial" w:hAnsi="Arial" w:cs="Arial"/>
                <w:sz w:val="22"/>
                <w:szCs w:val="22"/>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rPr>
                <w:rFonts w:ascii="Arial" w:hAnsi="Arial" w:cs="Arial"/>
                <w:sz w:val="22"/>
                <w:szCs w:val="22"/>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rPr>
                <w:rFonts w:ascii="Arial" w:hAnsi="Arial" w:cs="Arial"/>
                <w:sz w:val="22"/>
                <w:szCs w:val="22"/>
              </w:rPr>
            </w:pPr>
          </w:p>
        </w:tc>
      </w:tr>
      <w:tr w:rsidR="00AB5E0A" w:rsidRPr="00546B9C" w:rsidTr="009C14A3">
        <w:trPr>
          <w:trHeight w:val="517"/>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Default="00AB5E0A" w:rsidP="009C14A3">
            <w:pPr>
              <w:tabs>
                <w:tab w:val="center" w:pos="4153"/>
                <w:tab w:val="right" w:pos="8306"/>
              </w:tabs>
              <w:rPr>
                <w:rFonts w:ascii="Arial" w:hAnsi="Arial" w:cs="Arial"/>
                <w:sz w:val="22"/>
                <w:szCs w:val="22"/>
              </w:rPr>
            </w:pPr>
            <w:r w:rsidRPr="00546B9C">
              <w:rPr>
                <w:rFonts w:cs="Arial"/>
                <w:b/>
                <w:bCs/>
                <w:color w:val="000000"/>
                <w:kern w:val="24"/>
                <w:sz w:val="22"/>
                <w:szCs w:val="22"/>
              </w:rPr>
              <w:t>Analysis (list strengths and recommendations):</w:t>
            </w:r>
          </w:p>
          <w:p w:rsidR="00AB5E0A" w:rsidRDefault="00AB5E0A" w:rsidP="009C14A3">
            <w:pPr>
              <w:tabs>
                <w:tab w:val="center" w:pos="4153"/>
                <w:tab w:val="right" w:pos="8306"/>
              </w:tabs>
              <w:rPr>
                <w:rFonts w:ascii="Arial" w:hAnsi="Arial" w:cs="Arial"/>
                <w:sz w:val="22"/>
                <w:szCs w:val="22"/>
              </w:rPr>
            </w:pPr>
          </w:p>
          <w:p w:rsidR="00AB5E0A" w:rsidRDefault="00AB5E0A" w:rsidP="009C14A3">
            <w:pPr>
              <w:tabs>
                <w:tab w:val="center" w:pos="4153"/>
                <w:tab w:val="right" w:pos="8306"/>
              </w:tabs>
              <w:rPr>
                <w:rFonts w:ascii="Arial" w:hAnsi="Arial" w:cs="Arial"/>
                <w:sz w:val="22"/>
                <w:szCs w:val="22"/>
              </w:rPr>
            </w:pPr>
          </w:p>
          <w:p w:rsidR="00AB5E0A" w:rsidRDefault="00AB5E0A" w:rsidP="009C14A3">
            <w:pPr>
              <w:tabs>
                <w:tab w:val="center" w:pos="4153"/>
                <w:tab w:val="right" w:pos="8306"/>
              </w:tabs>
              <w:rPr>
                <w:rFonts w:ascii="Arial" w:hAnsi="Arial" w:cs="Arial"/>
                <w:sz w:val="22"/>
                <w:szCs w:val="22"/>
              </w:rPr>
            </w:pPr>
          </w:p>
          <w:p w:rsidR="00AB5E0A" w:rsidRDefault="00AB5E0A" w:rsidP="009C14A3">
            <w:pPr>
              <w:tabs>
                <w:tab w:val="center" w:pos="4153"/>
                <w:tab w:val="right" w:pos="8306"/>
              </w:tabs>
              <w:rPr>
                <w:rFonts w:ascii="Arial" w:hAnsi="Arial" w:cs="Arial"/>
                <w:sz w:val="22"/>
                <w:szCs w:val="22"/>
              </w:rPr>
            </w:pPr>
          </w:p>
          <w:p w:rsidR="00AB5E0A" w:rsidRPr="00546B9C" w:rsidRDefault="00AB5E0A" w:rsidP="009C14A3">
            <w:pPr>
              <w:tabs>
                <w:tab w:val="center" w:pos="4153"/>
                <w:tab w:val="right" w:pos="8306"/>
              </w:tabs>
              <w:rPr>
                <w:rFonts w:ascii="Arial" w:hAnsi="Arial" w:cs="Arial"/>
                <w:sz w:val="22"/>
                <w:szCs w:val="22"/>
              </w:rPr>
            </w:pPr>
          </w:p>
        </w:tc>
      </w:tr>
      <w:tr w:rsidR="00AB5E0A" w:rsidRPr="00546B9C" w:rsidTr="009C14A3">
        <w:trPr>
          <w:trHeight w:val="2705"/>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rPr>
                <w:rFonts w:ascii="Arial" w:hAnsi="Arial" w:cs="Arial"/>
                <w:sz w:val="22"/>
                <w:szCs w:val="22"/>
              </w:rPr>
            </w:pPr>
            <w:r w:rsidRPr="00546B9C">
              <w:rPr>
                <w:rFonts w:cs="Arial"/>
                <w:b/>
                <w:bCs/>
                <w:color w:val="000000"/>
                <w:kern w:val="24"/>
                <w:sz w:val="22"/>
                <w:szCs w:val="22"/>
              </w:rPr>
              <w:t xml:space="preserve">*   Explain:  </w:t>
            </w:r>
          </w:p>
          <w:p w:rsidR="00AB5E0A" w:rsidRPr="00546B9C" w:rsidRDefault="00AB5E0A" w:rsidP="009C14A3">
            <w:pPr>
              <w:tabs>
                <w:tab w:val="center" w:pos="4153"/>
                <w:tab w:val="right" w:pos="8306"/>
              </w:tabs>
              <w:rPr>
                <w:rFonts w:ascii="Arial" w:hAnsi="Arial" w:cs="Arial"/>
                <w:sz w:val="22"/>
                <w:szCs w:val="22"/>
                <w:rtl/>
              </w:rPr>
            </w:pPr>
            <w:r w:rsidRPr="00546B9C">
              <w:rPr>
                <w:rFonts w:cs="Arial"/>
                <w:b/>
                <w:bCs/>
                <w:color w:val="000000"/>
                <w:kern w:val="24"/>
                <w:sz w:val="22"/>
                <w:szCs w:val="22"/>
              </w:rPr>
              <w:t>1. Why this internal benchmark provider was chosen?</w:t>
            </w:r>
          </w:p>
          <w:p w:rsidR="00AB5E0A" w:rsidRPr="00546B9C" w:rsidRDefault="00AB5E0A" w:rsidP="009C14A3">
            <w:pPr>
              <w:tabs>
                <w:tab w:val="center" w:pos="4153"/>
                <w:tab w:val="right" w:pos="8306"/>
              </w:tabs>
              <w:rPr>
                <w:rFonts w:ascii="Arial" w:hAnsi="Arial" w:cs="Arial"/>
                <w:sz w:val="22"/>
                <w:szCs w:val="22"/>
                <w:rtl/>
              </w:rPr>
            </w:pPr>
            <w:r w:rsidRPr="00546B9C">
              <w:rPr>
                <w:rFonts w:cs="Arial"/>
                <w:b/>
                <w:bCs/>
                <w:color w:val="000000"/>
                <w:kern w:val="24"/>
                <w:sz w:val="22"/>
                <w:szCs w:val="22"/>
              </w:rPr>
              <w:t>2. How was the benchmark calculated?</w:t>
            </w:r>
          </w:p>
          <w:p w:rsidR="00AB5E0A" w:rsidRDefault="00AB5E0A" w:rsidP="009C14A3">
            <w:pPr>
              <w:tabs>
                <w:tab w:val="center" w:pos="4153"/>
                <w:tab w:val="right" w:pos="8306"/>
              </w:tabs>
              <w:rPr>
                <w:rFonts w:ascii="Arial" w:hAnsi="Arial" w:cs="Arial"/>
                <w:sz w:val="22"/>
                <w:szCs w:val="22"/>
              </w:rPr>
            </w:pPr>
            <w:r w:rsidRPr="00546B9C">
              <w:rPr>
                <w:rFonts w:cs="Arial"/>
                <w:b/>
                <w:bCs/>
                <w:color w:val="000000"/>
                <w:kern w:val="24"/>
                <w:sz w:val="22"/>
                <w:szCs w:val="22"/>
              </w:rPr>
              <w:t xml:space="preserve">3. Name of the internal benchmark provider. </w:t>
            </w:r>
          </w:p>
          <w:p w:rsidR="00AB5E0A" w:rsidRDefault="00AB5E0A" w:rsidP="009C14A3">
            <w:pPr>
              <w:tabs>
                <w:tab w:val="center" w:pos="4153"/>
                <w:tab w:val="right" w:pos="8306"/>
              </w:tabs>
              <w:rPr>
                <w:rFonts w:ascii="Arial" w:hAnsi="Arial" w:cs="Arial"/>
                <w:sz w:val="22"/>
                <w:szCs w:val="22"/>
              </w:rPr>
            </w:pPr>
          </w:p>
          <w:p w:rsidR="00AB5E0A" w:rsidRPr="00546B9C" w:rsidRDefault="00AB5E0A" w:rsidP="009C14A3">
            <w:pPr>
              <w:tabs>
                <w:tab w:val="center" w:pos="4153"/>
                <w:tab w:val="right" w:pos="8306"/>
              </w:tabs>
              <w:rPr>
                <w:rFonts w:ascii="Arial" w:hAnsi="Arial" w:cs="Arial"/>
                <w:sz w:val="22"/>
                <w:szCs w:val="22"/>
              </w:rPr>
            </w:pPr>
            <w:r w:rsidRPr="00546B9C">
              <w:rPr>
                <w:rFonts w:cs="Arial"/>
                <w:b/>
                <w:bCs/>
                <w:color w:val="000000"/>
                <w:kern w:val="24"/>
                <w:sz w:val="22"/>
                <w:szCs w:val="22"/>
              </w:rPr>
              <w:t xml:space="preserve">** Explain: </w:t>
            </w:r>
          </w:p>
          <w:p w:rsidR="00AB5E0A" w:rsidRPr="008500AB" w:rsidRDefault="00AB5E0A" w:rsidP="009C14A3">
            <w:pPr>
              <w:tabs>
                <w:tab w:val="center" w:pos="4153"/>
                <w:tab w:val="right" w:pos="8306"/>
              </w:tabs>
              <w:rPr>
                <w:rFonts w:ascii="Arial" w:hAnsi="Arial" w:cs="Arial"/>
                <w:sz w:val="22"/>
                <w:szCs w:val="22"/>
                <w:rtl/>
              </w:rPr>
            </w:pPr>
            <w:r w:rsidRPr="00546B9C">
              <w:rPr>
                <w:rFonts w:cs="Arial"/>
                <w:b/>
                <w:bCs/>
                <w:color w:val="000000"/>
                <w:kern w:val="24"/>
                <w:sz w:val="22"/>
                <w:szCs w:val="22"/>
              </w:rPr>
              <w:t xml:space="preserve">1. </w:t>
            </w:r>
            <w:r>
              <w:rPr>
                <w:rFonts w:cs="Arial"/>
                <w:b/>
                <w:bCs/>
                <w:color w:val="000000"/>
                <w:kern w:val="24"/>
                <w:sz w:val="22"/>
                <w:szCs w:val="22"/>
              </w:rPr>
              <w:t>Why this external provider was chosen?</w:t>
            </w:r>
          </w:p>
          <w:p w:rsidR="00AB5E0A" w:rsidRDefault="00AB5E0A" w:rsidP="009C14A3">
            <w:pPr>
              <w:tabs>
                <w:tab w:val="center" w:pos="4153"/>
                <w:tab w:val="right" w:pos="8306"/>
              </w:tabs>
              <w:rPr>
                <w:rFonts w:cs="Arial"/>
                <w:b/>
                <w:bCs/>
                <w:color w:val="000000"/>
                <w:kern w:val="24"/>
                <w:sz w:val="22"/>
                <w:szCs w:val="22"/>
              </w:rPr>
            </w:pPr>
            <w:r w:rsidRPr="00546B9C">
              <w:rPr>
                <w:rFonts w:cs="Arial"/>
                <w:b/>
                <w:bCs/>
                <w:color w:val="000000"/>
                <w:kern w:val="24"/>
                <w:sz w:val="22"/>
                <w:szCs w:val="22"/>
              </w:rPr>
              <w:t>2. How was the benchmark calculated</w:t>
            </w:r>
            <w:r>
              <w:rPr>
                <w:rFonts w:cs="Arial"/>
                <w:b/>
                <w:bCs/>
                <w:color w:val="000000"/>
                <w:kern w:val="24"/>
                <w:sz w:val="22"/>
                <w:szCs w:val="22"/>
              </w:rPr>
              <w:t>?</w:t>
            </w:r>
          </w:p>
          <w:p w:rsidR="00AB5E0A" w:rsidRPr="004E1313" w:rsidRDefault="00AB5E0A" w:rsidP="009C14A3">
            <w:pPr>
              <w:tabs>
                <w:tab w:val="center" w:pos="4153"/>
                <w:tab w:val="right" w:pos="8306"/>
              </w:tabs>
              <w:rPr>
                <w:rFonts w:asciiTheme="majorBidi" w:hAnsiTheme="majorBidi" w:cstheme="majorBidi"/>
                <w:b/>
                <w:bCs/>
                <w:sz w:val="22"/>
                <w:szCs w:val="22"/>
                <w:rtl/>
              </w:rPr>
            </w:pPr>
            <w:r w:rsidRPr="004E1313">
              <w:rPr>
                <w:rFonts w:asciiTheme="majorBidi" w:hAnsiTheme="majorBidi" w:cstheme="majorBidi"/>
                <w:b/>
                <w:bCs/>
                <w:sz w:val="22"/>
                <w:szCs w:val="22"/>
              </w:rPr>
              <w:t>3. Name of the external provider.</w:t>
            </w:r>
          </w:p>
          <w:p w:rsidR="00AB5E0A" w:rsidRPr="00546B9C" w:rsidRDefault="00AB5E0A" w:rsidP="009C14A3">
            <w:pPr>
              <w:tabs>
                <w:tab w:val="center" w:pos="4153"/>
                <w:tab w:val="right" w:pos="8306"/>
              </w:tabs>
              <w:rPr>
                <w:rFonts w:ascii="Arial" w:hAnsi="Arial" w:cs="Arial"/>
                <w:sz w:val="22"/>
                <w:szCs w:val="22"/>
              </w:rPr>
            </w:pPr>
          </w:p>
        </w:tc>
      </w:tr>
    </w:tbl>
    <w:p w:rsidR="00AB5E0A" w:rsidRDefault="00AB5E0A" w:rsidP="00AB5E0A">
      <w:pPr>
        <w:rPr>
          <w:b/>
          <w:bCs/>
        </w:rPr>
      </w:pPr>
    </w:p>
    <w:p w:rsidR="00AB5E0A" w:rsidRDefault="00AB5E0A" w:rsidP="00AB5E0A">
      <w:pPr>
        <w:rPr>
          <w:b/>
          <w:bCs/>
        </w:rPr>
      </w:pPr>
    </w:p>
    <w:p w:rsidR="00AB5E0A" w:rsidRDefault="00AB5E0A" w:rsidP="00AB5E0A">
      <w:pPr>
        <w:rPr>
          <w:b/>
          <w:bCs/>
        </w:rPr>
      </w:pPr>
      <w:r>
        <w:rPr>
          <w:b/>
          <w:bCs/>
        </w:rPr>
        <w:t>KPI Table Glossary</w:t>
      </w:r>
    </w:p>
    <w:p w:rsidR="00AB5E0A" w:rsidRDefault="00AB5E0A" w:rsidP="00AB5E0A">
      <w:pPr>
        <w:rPr>
          <w:b/>
          <w:bCs/>
        </w:rPr>
      </w:pPr>
    </w:p>
    <w:p w:rsidR="00AB5E0A" w:rsidRPr="00FE63DA" w:rsidRDefault="00AB5E0A" w:rsidP="00AB5E0A">
      <w:pPr>
        <w:jc w:val="both"/>
        <w:rPr>
          <w:lang w:val="en-AU"/>
        </w:rPr>
      </w:pPr>
      <w:r w:rsidRPr="00FE63DA">
        <w:rPr>
          <w:b/>
          <w:bCs/>
          <w:lang w:val="en-AU"/>
        </w:rPr>
        <w:t>NOTE</w:t>
      </w:r>
      <w:r>
        <w:rPr>
          <w:b/>
          <w:bCs/>
          <w:lang w:val="en-AU"/>
        </w:rPr>
        <w:t>:</w:t>
      </w:r>
      <w:r w:rsidRPr="00FE63DA">
        <w:rPr>
          <w:b/>
          <w:bCs/>
          <w:lang w:val="en-AU"/>
        </w:rPr>
        <w:t xml:space="preserve">   </w:t>
      </w:r>
      <w:r w:rsidRPr="00FE63DA">
        <w:rPr>
          <w:lang w:val="en-AU"/>
        </w:rPr>
        <w:t>The following definitions are provided to guide the completion of the above table for KPIs and assessment. The basic premise is that a KPI is a performance indicator that is part of an assessment process that includes multiple benchmarks, analysis, and an action plan that is designed for improvement.</w:t>
      </w:r>
      <w:r>
        <w:rPr>
          <w:lang w:val="en-AU"/>
        </w:rPr>
        <w:t xml:space="preserve"> The KPI table is designed to include a KPI and several benchmarks with a section for analysis. </w:t>
      </w:r>
    </w:p>
    <w:p w:rsidR="00AB5E0A" w:rsidRPr="00FE63DA" w:rsidRDefault="00AB5E0A" w:rsidP="00AB5E0A">
      <w:pPr>
        <w:jc w:val="both"/>
        <w:rPr>
          <w:b/>
          <w:bCs/>
          <w:lang w:val="en-AU"/>
        </w:rPr>
      </w:pPr>
    </w:p>
    <w:p w:rsidR="00AB5E0A" w:rsidRDefault="00AB5E0A" w:rsidP="00AB5E0A">
      <w:pPr>
        <w:jc w:val="both"/>
        <w:rPr>
          <w:lang w:val="en-AU"/>
        </w:rPr>
      </w:pPr>
      <w:r w:rsidRPr="00FE63DA">
        <w:rPr>
          <w:b/>
          <w:bCs/>
          <w:u w:val="single"/>
          <w:lang w:val="en-AU"/>
        </w:rPr>
        <w:t>KPI</w:t>
      </w:r>
      <w:r>
        <w:rPr>
          <w:b/>
          <w:bCs/>
          <w:lang w:val="en-AU"/>
        </w:rPr>
        <w:t xml:space="preserve">:  </w:t>
      </w:r>
      <w:r w:rsidRPr="00D753C8">
        <w:rPr>
          <w:lang w:val="en-AU"/>
        </w:rPr>
        <w:t>Refers to a "</w:t>
      </w:r>
      <w:r w:rsidRPr="00D753C8">
        <w:rPr>
          <w:i/>
          <w:iCs/>
          <w:lang w:val="en-AU"/>
        </w:rPr>
        <w:t>key performance indicator</w:t>
      </w:r>
      <w:r w:rsidRPr="00D753C8">
        <w:rPr>
          <w:lang w:val="en-AU"/>
        </w:rPr>
        <w:t>" that identifies evaluative criteria for scientific assessment</w:t>
      </w:r>
      <w:r>
        <w:rPr>
          <w:lang w:val="en-AU"/>
        </w:rPr>
        <w:t xml:space="preserve"> of an educational objective or student learning outcome performance. A KPI must be measurable or written in a way that is designed for assessment. When benchmarking and analysis are </w:t>
      </w:r>
      <w:r w:rsidRPr="00D753C8">
        <w:rPr>
          <w:lang w:val="en-AU"/>
        </w:rPr>
        <w:t xml:space="preserve">used </w:t>
      </w:r>
      <w:r>
        <w:rPr>
          <w:lang w:val="en-AU"/>
        </w:rPr>
        <w:t xml:space="preserve">with it, together they provide evidence for assessment </w:t>
      </w:r>
      <w:r w:rsidRPr="00D753C8">
        <w:rPr>
          <w:lang w:val="en-AU"/>
        </w:rPr>
        <w:t>to guide decision-making and judgments</w:t>
      </w:r>
      <w:r>
        <w:rPr>
          <w:lang w:val="en-AU"/>
        </w:rPr>
        <w:t>. For example," student to teacher ratio" is a valid KPI because it indicates a measurable criterion that is used to calculate the number of students per teacher.</w:t>
      </w:r>
    </w:p>
    <w:p w:rsidR="00AB5E0A" w:rsidRDefault="00AB5E0A" w:rsidP="00AB5E0A">
      <w:pPr>
        <w:jc w:val="both"/>
        <w:rPr>
          <w:lang w:val="en-AU"/>
        </w:rPr>
      </w:pPr>
    </w:p>
    <w:p w:rsidR="00AB5E0A" w:rsidRDefault="00AB5E0A" w:rsidP="00AB5E0A">
      <w:pPr>
        <w:jc w:val="both"/>
        <w:rPr>
          <w:b/>
          <w:bCs/>
          <w:u w:val="single"/>
          <w:lang w:val="en-AU"/>
        </w:rPr>
      </w:pPr>
      <w:r w:rsidRPr="009C1773">
        <w:rPr>
          <w:b/>
          <w:bCs/>
          <w:u w:val="single"/>
          <w:lang w:val="en-AU"/>
        </w:rPr>
        <w:t>Benchmark</w:t>
      </w:r>
      <w:r w:rsidRPr="009C1773">
        <w:rPr>
          <w:b/>
          <w:bCs/>
          <w:lang w:val="en-AU"/>
        </w:rPr>
        <w:t xml:space="preserve">:  </w:t>
      </w:r>
      <w:r>
        <w:rPr>
          <w:lang w:val="en-AU"/>
        </w:rPr>
        <w:t xml:space="preserve">Refers to a performance level of achievement for a given KPI or performance indicator. There are many kinds of benchmarks that align with KPIs, therefore it is necessary to qualify benchmarks in order to understand their relationship to a given KPI. Benchmarks may be internal or external. </w:t>
      </w:r>
      <w:r>
        <w:rPr>
          <w:b/>
          <w:bCs/>
          <w:lang w:val="en-AU"/>
        </w:rPr>
        <w:t xml:space="preserve"> </w:t>
      </w:r>
    </w:p>
    <w:p w:rsidR="00AB5E0A" w:rsidRDefault="00AB5E0A" w:rsidP="00AB5E0A">
      <w:pPr>
        <w:jc w:val="both"/>
        <w:rPr>
          <w:b/>
          <w:bCs/>
          <w:u w:val="single"/>
          <w:lang w:val="en-AU"/>
        </w:rPr>
      </w:pPr>
    </w:p>
    <w:p w:rsidR="00AB5E0A" w:rsidRPr="009C1773" w:rsidRDefault="00AB5E0A" w:rsidP="00AB5E0A">
      <w:pPr>
        <w:jc w:val="both"/>
        <w:rPr>
          <w:lang w:val="en-AU"/>
        </w:rPr>
      </w:pPr>
      <w:r w:rsidRPr="00FE63DA">
        <w:rPr>
          <w:b/>
          <w:bCs/>
          <w:u w:val="single"/>
          <w:lang w:val="en-AU"/>
        </w:rPr>
        <w:t>Target Benchmark</w:t>
      </w:r>
      <w:r w:rsidRPr="009C1773">
        <w:rPr>
          <w:b/>
          <w:bCs/>
          <w:lang w:val="en-AU"/>
        </w:rPr>
        <w:t xml:space="preserve">: </w:t>
      </w:r>
      <w:r w:rsidRPr="00FE63DA">
        <w:rPr>
          <w:b/>
          <w:bCs/>
          <w:lang w:val="en-AU"/>
        </w:rPr>
        <w:t xml:space="preserve"> </w:t>
      </w:r>
      <w:r w:rsidRPr="009C1773">
        <w:rPr>
          <w:lang w:val="en-AU"/>
        </w:rPr>
        <w:t xml:space="preserve">Refers to the anticipated </w:t>
      </w:r>
      <w:r>
        <w:rPr>
          <w:lang w:val="en-AU"/>
        </w:rPr>
        <w:t xml:space="preserve">performance level </w:t>
      </w:r>
      <w:r w:rsidRPr="009C1773">
        <w:rPr>
          <w:lang w:val="en-AU"/>
        </w:rPr>
        <w:t>or desire</w:t>
      </w:r>
      <w:r>
        <w:rPr>
          <w:lang w:val="en-AU"/>
        </w:rPr>
        <w:t>d outcome (goal or aim) for a</w:t>
      </w:r>
      <w:r w:rsidRPr="009C1773">
        <w:rPr>
          <w:lang w:val="en-AU"/>
        </w:rPr>
        <w:t xml:space="preserve"> KPI.</w:t>
      </w:r>
      <w:r>
        <w:rPr>
          <w:lang w:val="en-AU"/>
        </w:rPr>
        <w:t xml:space="preserve"> For example, if the KPI is "student to teacher ratio" then the target benchmark might be 12 students per 1 teacher. A target benchmark is also an internal benchmark. </w:t>
      </w:r>
    </w:p>
    <w:p w:rsidR="00AB5E0A" w:rsidRPr="009C1773" w:rsidRDefault="00AB5E0A" w:rsidP="00AB5E0A">
      <w:pPr>
        <w:jc w:val="both"/>
        <w:rPr>
          <w:lang w:val="en-AU"/>
        </w:rPr>
      </w:pPr>
    </w:p>
    <w:p w:rsidR="00AB5E0A" w:rsidRPr="00204C06" w:rsidRDefault="00AB5E0A" w:rsidP="00AB5E0A">
      <w:pPr>
        <w:jc w:val="both"/>
        <w:rPr>
          <w:lang w:val="en-AU"/>
        </w:rPr>
      </w:pPr>
      <w:r w:rsidRPr="00FE63DA">
        <w:rPr>
          <w:b/>
          <w:bCs/>
          <w:u w:val="single"/>
          <w:lang w:val="en-AU"/>
        </w:rPr>
        <w:t>Finding Benchmark</w:t>
      </w:r>
      <w:r w:rsidRPr="00204C06">
        <w:rPr>
          <w:b/>
          <w:bCs/>
          <w:lang w:val="en-AU"/>
        </w:rPr>
        <w:t xml:space="preserve">: </w:t>
      </w:r>
      <w:r>
        <w:rPr>
          <w:b/>
          <w:bCs/>
          <w:lang w:val="en-AU"/>
        </w:rPr>
        <w:t xml:space="preserve"> </w:t>
      </w:r>
      <w:r w:rsidRPr="00204C06">
        <w:rPr>
          <w:lang w:val="en-AU"/>
        </w:rPr>
        <w:t>Refers to the actual outcome determined when the KPI is measured or calculated.</w:t>
      </w:r>
      <w:r>
        <w:rPr>
          <w:lang w:val="en-AU"/>
        </w:rPr>
        <w:t xml:space="preserve"> It represents the actual reality of the present situation. For example, if the actual" student to teacher ratio" is determined to be 24 students per 1 teacher it is the finding benchmark. A finding benchmark is also an internal benchmark.</w:t>
      </w:r>
    </w:p>
    <w:p w:rsidR="00AB5E0A" w:rsidRPr="00FE63DA" w:rsidRDefault="00AB5E0A" w:rsidP="00AB5E0A">
      <w:pPr>
        <w:jc w:val="both"/>
        <w:rPr>
          <w:b/>
          <w:bCs/>
          <w:lang w:val="en-AU"/>
        </w:rPr>
      </w:pPr>
    </w:p>
    <w:p w:rsidR="00AB5E0A" w:rsidRPr="001B65BD" w:rsidRDefault="00AB5E0A" w:rsidP="00AB5E0A">
      <w:pPr>
        <w:jc w:val="both"/>
        <w:rPr>
          <w:lang w:val="en-AU"/>
        </w:rPr>
      </w:pPr>
      <w:r w:rsidRPr="00FE63DA">
        <w:rPr>
          <w:b/>
          <w:bCs/>
          <w:u w:val="single"/>
          <w:lang w:val="en-AU"/>
        </w:rPr>
        <w:t>Internal Benchmarks</w:t>
      </w:r>
      <w:r w:rsidRPr="001B65BD">
        <w:rPr>
          <w:b/>
          <w:bCs/>
          <w:lang w:val="en-AU"/>
        </w:rPr>
        <w:t>:</w:t>
      </w:r>
      <w:r w:rsidRPr="00FE63DA">
        <w:rPr>
          <w:b/>
          <w:bCs/>
          <w:lang w:val="en-AU"/>
        </w:rPr>
        <w:t xml:space="preserve"> </w:t>
      </w:r>
      <w:r>
        <w:rPr>
          <w:b/>
          <w:bCs/>
          <w:lang w:val="en-AU"/>
        </w:rPr>
        <w:t xml:space="preserve"> </w:t>
      </w:r>
      <w:r w:rsidRPr="001B65BD">
        <w:rPr>
          <w:lang w:val="en-AU"/>
        </w:rPr>
        <w:t>Refer to benchmarks</w:t>
      </w:r>
      <w:r>
        <w:rPr>
          <w:lang w:val="en-AU"/>
        </w:rPr>
        <w:t xml:space="preserve"> that are based on information</w:t>
      </w:r>
      <w:r w:rsidRPr="001B65BD">
        <w:rPr>
          <w:lang w:val="en-AU"/>
        </w:rPr>
        <w:t xml:space="preserve"> from inside the program or institution.  </w:t>
      </w:r>
      <w:r>
        <w:rPr>
          <w:lang w:val="en-AU"/>
        </w:rPr>
        <w:t>I</w:t>
      </w:r>
      <w:r w:rsidRPr="001B65BD">
        <w:rPr>
          <w:lang w:val="en-AU"/>
        </w:rPr>
        <w:t>nternal benchmarks include target or finding benchmark data results from previous years.</w:t>
      </w:r>
      <w:r>
        <w:rPr>
          <w:lang w:val="en-AU"/>
        </w:rPr>
        <w:t xml:space="preserve"> For example, a previous year's benchmark for "student to teacher ratio" could have been 15 students to 1 teacher and the finding benchmark for that year might have been 28 students per 1 teacher. </w:t>
      </w:r>
    </w:p>
    <w:p w:rsidR="00AB5E0A" w:rsidRDefault="00AB5E0A" w:rsidP="00AB5E0A">
      <w:pPr>
        <w:jc w:val="both"/>
        <w:rPr>
          <w:b/>
          <w:bCs/>
          <w:lang w:val="en-AU"/>
        </w:rPr>
      </w:pPr>
    </w:p>
    <w:p w:rsidR="00AB5E0A" w:rsidRPr="001B65BD" w:rsidRDefault="00AB5E0A" w:rsidP="00AB5E0A">
      <w:pPr>
        <w:jc w:val="both"/>
        <w:rPr>
          <w:lang w:val="en-AU"/>
        </w:rPr>
      </w:pPr>
      <w:r w:rsidRPr="00FE63DA">
        <w:rPr>
          <w:b/>
          <w:bCs/>
          <w:u w:val="single"/>
          <w:lang w:val="en-AU"/>
        </w:rPr>
        <w:t>External Benchmarks</w:t>
      </w:r>
      <w:r w:rsidRPr="001B65BD">
        <w:rPr>
          <w:b/>
          <w:bCs/>
          <w:lang w:val="en-AU"/>
        </w:rPr>
        <w:t>:</w:t>
      </w:r>
      <w:r w:rsidRPr="00FE63DA">
        <w:rPr>
          <w:b/>
          <w:bCs/>
          <w:lang w:val="en-AU"/>
        </w:rPr>
        <w:t xml:space="preserve"> </w:t>
      </w:r>
      <w:r>
        <w:rPr>
          <w:b/>
          <w:bCs/>
          <w:lang w:val="en-AU"/>
        </w:rPr>
        <w:t xml:space="preserve"> </w:t>
      </w:r>
      <w:r w:rsidRPr="001B65BD">
        <w:rPr>
          <w:lang w:val="en-AU"/>
        </w:rPr>
        <w:t>Refer to benchmarks from similar programs or institutions that are outside the program</w:t>
      </w:r>
      <w:r>
        <w:rPr>
          <w:lang w:val="en-AU"/>
        </w:rPr>
        <w:t xml:space="preserve"> or institution. For example, external benchmarks for "student to teacher ration" could be 6 students to 1 teacher from a different program within the institution or another program outside the institution, or for institutions, it refers to other institutions</w:t>
      </w:r>
      <w:r w:rsidRPr="001B65BD">
        <w:rPr>
          <w:lang w:val="en-AU"/>
        </w:rPr>
        <w:t xml:space="preserve"> </w:t>
      </w:r>
      <w:r>
        <w:rPr>
          <w:lang w:val="en-AU"/>
        </w:rPr>
        <w:t>(</w:t>
      </w:r>
      <w:r w:rsidRPr="001B65BD">
        <w:rPr>
          <w:lang w:val="en-AU"/>
        </w:rPr>
        <w:t xml:space="preserve">national or international). </w:t>
      </w:r>
    </w:p>
    <w:p w:rsidR="00AB5E0A" w:rsidRPr="00FE63DA" w:rsidRDefault="00AB5E0A" w:rsidP="00AB5E0A">
      <w:pPr>
        <w:jc w:val="both"/>
        <w:rPr>
          <w:b/>
          <w:bCs/>
          <w:lang w:val="en-AU"/>
        </w:rPr>
      </w:pPr>
    </w:p>
    <w:p w:rsidR="00AB5E0A" w:rsidRPr="00461F88" w:rsidRDefault="00AB5E0A" w:rsidP="00AB5E0A">
      <w:pPr>
        <w:jc w:val="both"/>
        <w:rPr>
          <w:lang w:val="en-AU"/>
        </w:rPr>
      </w:pPr>
      <w:r w:rsidRPr="00FE63DA">
        <w:rPr>
          <w:b/>
          <w:bCs/>
          <w:u w:val="single"/>
          <w:lang w:val="en-AU"/>
        </w:rPr>
        <w:t>KPI Analysis</w:t>
      </w:r>
      <w:r w:rsidRPr="00461F88">
        <w:rPr>
          <w:b/>
          <w:bCs/>
          <w:lang w:val="en-AU"/>
        </w:rPr>
        <w:t>:</w:t>
      </w:r>
      <w:r w:rsidRPr="00FE63DA">
        <w:rPr>
          <w:b/>
          <w:bCs/>
          <w:lang w:val="en-AU"/>
        </w:rPr>
        <w:t xml:space="preserve"> </w:t>
      </w:r>
      <w:r>
        <w:rPr>
          <w:b/>
          <w:bCs/>
          <w:lang w:val="en-AU"/>
        </w:rPr>
        <w:t xml:space="preserve"> </w:t>
      </w:r>
      <w:r w:rsidRPr="00461F88">
        <w:rPr>
          <w:lang w:val="en-AU"/>
        </w:rPr>
        <w:t>Refers to a comparison and contrast of the benchmarks to determine strengths and recommendations for improvement.</w:t>
      </w:r>
      <w:r>
        <w:rPr>
          <w:lang w:val="en-AU"/>
        </w:rPr>
        <w:t xml:space="preserve"> This is sometimes called "benchmarking." For example, KPI analysis could compare and contrast "student to teacher ratio" target and actual benchmarks from both internal and external data banks to determine strengths and recommendations for improvement. </w:t>
      </w:r>
    </w:p>
    <w:p w:rsidR="00AB5E0A" w:rsidRPr="00FE63DA" w:rsidRDefault="00AB5E0A" w:rsidP="00AB5E0A">
      <w:pPr>
        <w:jc w:val="both"/>
        <w:rPr>
          <w:b/>
          <w:bCs/>
          <w:lang w:val="en-AU"/>
        </w:rPr>
      </w:pPr>
    </w:p>
    <w:p w:rsidR="0078171E" w:rsidRPr="00417D82" w:rsidRDefault="00AB5E0A" w:rsidP="00AB5E0A">
      <w:pPr>
        <w:jc w:val="both"/>
        <w:rPr>
          <w:b/>
          <w:sz w:val="32"/>
        </w:rPr>
      </w:pPr>
      <w:r w:rsidRPr="00FE63DA">
        <w:rPr>
          <w:b/>
          <w:bCs/>
          <w:u w:val="single"/>
          <w:lang w:val="en-AU"/>
        </w:rPr>
        <w:t>New Target Benchmark</w:t>
      </w:r>
      <w:r>
        <w:rPr>
          <w:b/>
          <w:bCs/>
          <w:u w:val="single"/>
          <w:lang w:val="en-AU"/>
        </w:rPr>
        <w:t>:</w:t>
      </w:r>
      <w:r w:rsidRPr="00FE63DA">
        <w:rPr>
          <w:b/>
          <w:bCs/>
          <w:lang w:val="en-AU"/>
        </w:rPr>
        <w:t xml:space="preserve"> </w:t>
      </w:r>
      <w:r>
        <w:rPr>
          <w:b/>
          <w:bCs/>
          <w:lang w:val="en-AU"/>
        </w:rPr>
        <w:t xml:space="preserve"> </w:t>
      </w:r>
      <w:r w:rsidRPr="001473FD">
        <w:rPr>
          <w:lang w:val="en-AU"/>
        </w:rPr>
        <w:t>Refer</w:t>
      </w:r>
      <w:r>
        <w:rPr>
          <w:lang w:val="en-AU"/>
        </w:rPr>
        <w:t xml:space="preserve">s to the establishment of a new or </w:t>
      </w:r>
      <w:r w:rsidRPr="001473FD">
        <w:rPr>
          <w:lang w:val="en-AU"/>
        </w:rPr>
        <w:t xml:space="preserve">desired </w:t>
      </w:r>
      <w:r>
        <w:rPr>
          <w:lang w:val="en-AU"/>
        </w:rPr>
        <w:t>performance level or goal for the KPI that is</w:t>
      </w:r>
      <w:r w:rsidRPr="001473FD">
        <w:rPr>
          <w:lang w:val="en-AU"/>
        </w:rPr>
        <w:t xml:space="preserve"> based on the</w:t>
      </w:r>
      <w:r>
        <w:rPr>
          <w:lang w:val="en-AU"/>
        </w:rPr>
        <w:t xml:space="preserve"> outcome of the</w:t>
      </w:r>
      <w:r w:rsidRPr="001473FD">
        <w:rPr>
          <w:lang w:val="en-AU"/>
        </w:rPr>
        <w:t xml:space="preserve"> KPI analysis.</w:t>
      </w:r>
      <w:r>
        <w:rPr>
          <w:lang w:val="en-AU"/>
        </w:rPr>
        <w:t xml:space="preserve"> For example, the new target benchmark for the "student to teacher" KPI might be 10 students to 1 teacher. </w:t>
      </w:r>
    </w:p>
    <w:sectPr w:rsidR="0078171E" w:rsidRPr="00417D82"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720" w:rsidRDefault="000A1720">
      <w:r>
        <w:separator/>
      </w:r>
    </w:p>
  </w:endnote>
  <w:endnote w:type="continuationSeparator" w:id="0">
    <w:p w:rsidR="000A1720" w:rsidRDefault="000A1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8957"/>
      <w:docPartObj>
        <w:docPartGallery w:val="Page Numbers (Bottom of Page)"/>
        <w:docPartUnique/>
      </w:docPartObj>
    </w:sdtPr>
    <w:sdtContent>
      <w:p w:rsidR="00AB5E0A" w:rsidRDefault="00440FFE">
        <w:pPr>
          <w:pStyle w:val="Footer"/>
          <w:jc w:val="right"/>
        </w:pPr>
        <w:fldSimple w:instr=" PAGE   \* MERGEFORMAT ">
          <w:r w:rsidR="000A1720">
            <w:rPr>
              <w:noProof/>
            </w:rPr>
            <w:t>1</w:t>
          </w:r>
        </w:fldSimple>
      </w:p>
    </w:sdtContent>
  </w:sdt>
  <w:p w:rsidR="00AB5E0A" w:rsidRDefault="00AB5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720" w:rsidRDefault="000A1720">
      <w:r>
        <w:separator/>
      </w:r>
    </w:p>
  </w:footnote>
  <w:footnote w:type="continuationSeparator" w:id="0">
    <w:p w:rsidR="000A1720" w:rsidRDefault="000A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440FFE"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6"/>
  </w:num>
  <w:num w:numId="5">
    <w:abstractNumId w:val="9"/>
  </w:num>
  <w:num w:numId="6">
    <w:abstractNumId w:val="8"/>
  </w:num>
  <w:num w:numId="7">
    <w:abstractNumId w:val="5"/>
  </w:num>
  <w:num w:numId="8">
    <w:abstractNumId w:val="12"/>
  </w:num>
  <w:num w:numId="9">
    <w:abstractNumId w:val="4"/>
  </w:num>
  <w:num w:numId="10">
    <w:abstractNumId w:val="1"/>
  </w:num>
  <w:num w:numId="11">
    <w:abstractNumId w:val="10"/>
  </w:num>
  <w:num w:numId="12">
    <w:abstractNumId w:val="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8914"/>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1720"/>
    <w:rsid w:val="000A7440"/>
    <w:rsid w:val="000B51AA"/>
    <w:rsid w:val="000E1B3F"/>
    <w:rsid w:val="001279FA"/>
    <w:rsid w:val="00137E01"/>
    <w:rsid w:val="001501F8"/>
    <w:rsid w:val="001721CF"/>
    <w:rsid w:val="00186EE8"/>
    <w:rsid w:val="001B2DF8"/>
    <w:rsid w:val="001D523C"/>
    <w:rsid w:val="001E1AE5"/>
    <w:rsid w:val="00210DDA"/>
    <w:rsid w:val="00210E54"/>
    <w:rsid w:val="002463F7"/>
    <w:rsid w:val="00247EC7"/>
    <w:rsid w:val="00297202"/>
    <w:rsid w:val="002A3788"/>
    <w:rsid w:val="002C019E"/>
    <w:rsid w:val="002C17F8"/>
    <w:rsid w:val="002F0788"/>
    <w:rsid w:val="002F19AE"/>
    <w:rsid w:val="003128ED"/>
    <w:rsid w:val="00353D62"/>
    <w:rsid w:val="00361B9C"/>
    <w:rsid w:val="003949F3"/>
    <w:rsid w:val="0039582C"/>
    <w:rsid w:val="003B4501"/>
    <w:rsid w:val="00424091"/>
    <w:rsid w:val="0042464A"/>
    <w:rsid w:val="00432BBC"/>
    <w:rsid w:val="00440FFE"/>
    <w:rsid w:val="00452C03"/>
    <w:rsid w:val="00454FED"/>
    <w:rsid w:val="00472722"/>
    <w:rsid w:val="00484971"/>
    <w:rsid w:val="004B68BF"/>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A232E"/>
    <w:rsid w:val="006E0507"/>
    <w:rsid w:val="006F2D80"/>
    <w:rsid w:val="006F6C35"/>
    <w:rsid w:val="007172FF"/>
    <w:rsid w:val="007252AD"/>
    <w:rsid w:val="00747241"/>
    <w:rsid w:val="00753AB0"/>
    <w:rsid w:val="007566A6"/>
    <w:rsid w:val="00761701"/>
    <w:rsid w:val="00771B48"/>
    <w:rsid w:val="0078171E"/>
    <w:rsid w:val="00796DF0"/>
    <w:rsid w:val="007C62C7"/>
    <w:rsid w:val="007E74E5"/>
    <w:rsid w:val="007F4EB0"/>
    <w:rsid w:val="008048D3"/>
    <w:rsid w:val="00832672"/>
    <w:rsid w:val="0084050E"/>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A04F37"/>
    <w:rsid w:val="00A05EEE"/>
    <w:rsid w:val="00A41162"/>
    <w:rsid w:val="00A65417"/>
    <w:rsid w:val="00A74A87"/>
    <w:rsid w:val="00A75B36"/>
    <w:rsid w:val="00A83804"/>
    <w:rsid w:val="00AB5E0A"/>
    <w:rsid w:val="00AB670E"/>
    <w:rsid w:val="00AC0395"/>
    <w:rsid w:val="00AE7C60"/>
    <w:rsid w:val="00B24077"/>
    <w:rsid w:val="00B430E3"/>
    <w:rsid w:val="00B62B30"/>
    <w:rsid w:val="00B779B6"/>
    <w:rsid w:val="00B9725D"/>
    <w:rsid w:val="00BB38C9"/>
    <w:rsid w:val="00BC1787"/>
    <w:rsid w:val="00BC37BA"/>
    <w:rsid w:val="00BD277E"/>
    <w:rsid w:val="00BD62A5"/>
    <w:rsid w:val="00BF59BD"/>
    <w:rsid w:val="00C54D3B"/>
    <w:rsid w:val="00C909DE"/>
    <w:rsid w:val="00CA0ADC"/>
    <w:rsid w:val="00CC3B20"/>
    <w:rsid w:val="00D151F1"/>
    <w:rsid w:val="00D32AD2"/>
    <w:rsid w:val="00D40388"/>
    <w:rsid w:val="00D56B19"/>
    <w:rsid w:val="00D85419"/>
    <w:rsid w:val="00DA0806"/>
    <w:rsid w:val="00DA351C"/>
    <w:rsid w:val="00DB0286"/>
    <w:rsid w:val="00DB4D9E"/>
    <w:rsid w:val="00DF428E"/>
    <w:rsid w:val="00E052FB"/>
    <w:rsid w:val="00E10525"/>
    <w:rsid w:val="00E24356"/>
    <w:rsid w:val="00E353A8"/>
    <w:rsid w:val="00E368AB"/>
    <w:rsid w:val="00E45633"/>
    <w:rsid w:val="00E62DCD"/>
    <w:rsid w:val="00E67BBC"/>
    <w:rsid w:val="00E80EA3"/>
    <w:rsid w:val="00EE1E8D"/>
    <w:rsid w:val="00EF7710"/>
    <w:rsid w:val="00F003F0"/>
    <w:rsid w:val="00F11794"/>
    <w:rsid w:val="00F22A64"/>
    <w:rsid w:val="00F32304"/>
    <w:rsid w:val="00F35623"/>
    <w:rsid w:val="00F42237"/>
    <w:rsid w:val="00F4596A"/>
    <w:rsid w:val="00F60E84"/>
    <w:rsid w:val="00F616CD"/>
    <w:rsid w:val="00F74B98"/>
    <w:rsid w:val="00FA413C"/>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 w:type="character" w:styleId="Strong">
    <w:name w:val="Strong"/>
    <w:basedOn w:val="DefaultParagraphFont"/>
    <w:uiPriority w:val="22"/>
    <w:qFormat/>
    <w:rsid w:val="00AB5E0A"/>
    <w:rPr>
      <w:b/>
      <w:bCs/>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3345</Words>
  <Characters>19072</Characters>
  <Application>Microsoft Office Word</Application>
  <DocSecurity>0</DocSecurity>
  <Lines>158</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22373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6</cp:revision>
  <cp:lastPrinted>2015-08-30T07:17:00Z</cp:lastPrinted>
  <dcterms:created xsi:type="dcterms:W3CDTF">2015-02-03T06:08:00Z</dcterms:created>
  <dcterms:modified xsi:type="dcterms:W3CDTF">2015-08-30T09:02:00Z</dcterms:modified>
</cp:coreProperties>
</file>